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46DDE">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7626198C">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2CB56A56">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1783F6F5">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2EA2657B">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6C2F8E77">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06DDB512">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2CEB4CDA">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新宋体" w:cs="Nimbus Roman"/>
          <w:sz w:val="44"/>
          <w:szCs w:val="44"/>
        </w:rPr>
      </w:pPr>
    </w:p>
    <w:p w14:paraId="1921F4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Nimbus Roman" w:hAnsi="Nimbus Roman" w:eastAsia="新宋体" w:cs="Nimbus Roman"/>
          <w:sz w:val="44"/>
          <w:szCs w:val="44"/>
        </w:rPr>
      </w:pPr>
    </w:p>
    <w:p w14:paraId="2E3494B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乌司通〔202</w:t>
      </w:r>
      <w:r>
        <w:rPr>
          <w:rFonts w:hint="default" w:ascii="Nimbus Roman" w:hAnsi="Nimbus Roman" w:eastAsia="仿宋_GB2312" w:cs="Nimbus Roman"/>
          <w:kern w:val="0"/>
          <w:sz w:val="32"/>
          <w:szCs w:val="32"/>
          <w:lang w:val="en-US" w:eastAsia="zh-CN"/>
        </w:rPr>
        <w:t>6</w:t>
      </w:r>
      <w:r>
        <w:rPr>
          <w:rFonts w:hint="default" w:ascii="Nimbus Roman" w:hAnsi="Nimbus Roman" w:eastAsia="仿宋_GB2312" w:cs="Nimbus Roman"/>
          <w:kern w:val="0"/>
          <w:sz w:val="32"/>
          <w:szCs w:val="32"/>
        </w:rPr>
        <w:t>〕</w:t>
      </w:r>
      <w:r>
        <w:rPr>
          <w:rFonts w:hint="eastAsia" w:ascii="Nimbus Roman" w:hAnsi="Nimbus Roman" w:eastAsia="仿宋_GB2312" w:cs="Nimbus Roman"/>
          <w:kern w:val="0"/>
          <w:sz w:val="32"/>
          <w:szCs w:val="32"/>
          <w:lang w:val="en-US" w:eastAsia="zh-CN"/>
        </w:rPr>
        <w:t>4</w:t>
      </w:r>
      <w:r>
        <w:rPr>
          <w:rFonts w:hint="default" w:ascii="Nimbus Roman" w:hAnsi="Nimbus Roman" w:eastAsia="仿宋_GB2312" w:cs="Nimbus Roman"/>
          <w:kern w:val="0"/>
          <w:sz w:val="32"/>
          <w:szCs w:val="32"/>
        </w:rPr>
        <w:t>号</w:t>
      </w:r>
    </w:p>
    <w:p w14:paraId="24D6DB04">
      <w:pPr>
        <w:keepNext w:val="0"/>
        <w:keepLines w:val="0"/>
        <w:pageBreakBefore w:val="0"/>
        <w:widowControl w:val="0"/>
        <w:kinsoku/>
        <w:wordWrap/>
        <w:overflowPunct/>
        <w:topLinePunct w:val="0"/>
        <w:bidi w:val="0"/>
        <w:spacing w:line="600" w:lineRule="exact"/>
        <w:jc w:val="center"/>
        <w:textAlignment w:val="auto"/>
        <w:rPr>
          <w:rFonts w:hint="default" w:ascii="Nimbus Roman" w:hAnsi="Nimbus Roman" w:eastAsia="仿宋_GB2312" w:cs="Nimbus Roman"/>
          <w:color w:val="000000" w:themeColor="text1"/>
          <w:sz w:val="32"/>
          <w:szCs w:val="32"/>
          <w14:textFill>
            <w14:solidFill>
              <w14:schemeClr w14:val="tx1"/>
            </w14:solidFill>
          </w14:textFill>
        </w:rPr>
      </w:pPr>
    </w:p>
    <w:p w14:paraId="62E1A428">
      <w:pPr>
        <w:keepNext w:val="0"/>
        <w:keepLines w:val="0"/>
        <w:pageBreakBefore w:val="0"/>
        <w:widowControl w:val="0"/>
        <w:shd w:val="clear" w:color="auto" w:fill="auto"/>
        <w:kinsoku/>
        <w:wordWrap/>
        <w:overflowPunct w:val="0"/>
        <w:topLinePunct/>
        <w:autoSpaceDE/>
        <w:autoSpaceDN/>
        <w:bidi w:val="0"/>
        <w:adjustRightInd/>
        <w:snapToGrid/>
        <w:spacing w:line="580" w:lineRule="exact"/>
        <w:ind w:left="0"/>
        <w:jc w:val="center"/>
        <w:textAlignment w:val="auto"/>
        <w:rPr>
          <w:rFonts w:hint="default" w:ascii="Nimbus Roman" w:hAnsi="Nimbus Roman" w:eastAsia="方正小标宋简体" w:cs="Nimbus Roman"/>
          <w:color w:val="000000"/>
          <w:sz w:val="44"/>
          <w:szCs w:val="44"/>
          <w:lang w:val="en-US" w:eastAsia="zh-CN"/>
        </w:rPr>
      </w:pPr>
      <w:r>
        <w:rPr>
          <w:rFonts w:hint="default" w:ascii="Nimbus Roman" w:hAnsi="Nimbus Roman" w:eastAsia="方正小标宋简体" w:cs="Nimbus Roman"/>
          <w:color w:val="000000"/>
          <w:sz w:val="44"/>
          <w:szCs w:val="44"/>
          <w:lang w:val="en-US" w:eastAsia="zh-CN"/>
        </w:rPr>
        <w:t>关于印发《2026年全市司法行政</w:t>
      </w:r>
    </w:p>
    <w:p w14:paraId="7B75569B">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rPr>
          <w:rFonts w:hint="default" w:ascii="Nimbus Roman" w:hAnsi="Nimbus Roman" w:eastAsia="仿宋" w:cs="Nimbus Roman"/>
          <w:sz w:val="44"/>
          <w:szCs w:val="44"/>
        </w:rPr>
      </w:pPr>
      <w:r>
        <w:rPr>
          <w:rFonts w:hint="default" w:ascii="Nimbus Roman" w:hAnsi="Nimbus Roman" w:eastAsia="方正小标宋简体" w:cs="Nimbus Roman"/>
          <w:color w:val="000000"/>
          <w:sz w:val="44"/>
          <w:szCs w:val="44"/>
          <w:lang w:val="en-US" w:eastAsia="zh-CN"/>
        </w:rPr>
        <w:t>工作要点》的通知</w:t>
      </w:r>
    </w:p>
    <w:p w14:paraId="302601C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Nimbus Roman" w:hAnsi="Nimbus Roman" w:eastAsia="仿宋" w:cs="Nimbus Roman"/>
          <w:sz w:val="32"/>
          <w:szCs w:val="32"/>
          <w:lang w:eastAsia="zh-CN"/>
        </w:rPr>
      </w:pPr>
    </w:p>
    <w:p w14:paraId="41E61B4F">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jc w:val="both"/>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各区司法局，机关各科室支队，各直属二级单位：</w:t>
      </w:r>
    </w:p>
    <w:p w14:paraId="047560FE">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现将《2026年全市司法行政工作要点》印发给你们，请结合实际，认真贯彻落实。</w:t>
      </w:r>
    </w:p>
    <w:p w14:paraId="10BA6497">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jc w:val="both"/>
        <w:textAlignment w:val="auto"/>
        <w:rPr>
          <w:rFonts w:hint="default" w:ascii="Nimbus Roman" w:hAnsi="Nimbus Roman" w:eastAsia="仿宋" w:cs="Nimbus Roman"/>
          <w:color w:val="000000"/>
          <w:sz w:val="32"/>
          <w:szCs w:val="32"/>
          <w:lang w:val="en-US" w:eastAsia="zh-CN"/>
        </w:rPr>
      </w:pPr>
    </w:p>
    <w:p w14:paraId="45E9F624">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jc w:val="both"/>
        <w:textAlignment w:val="auto"/>
        <w:rPr>
          <w:rFonts w:hint="default" w:ascii="Nimbus Roman" w:hAnsi="Nimbus Roman" w:eastAsia="仿宋" w:cs="Nimbus Roman"/>
          <w:color w:val="000000"/>
          <w:sz w:val="32"/>
          <w:szCs w:val="32"/>
          <w:lang w:val="en-US" w:eastAsia="zh-CN"/>
        </w:rPr>
      </w:pPr>
    </w:p>
    <w:p w14:paraId="22CCDA57">
      <w:pPr>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5120" w:firstLineChars="1600"/>
        <w:jc w:val="both"/>
        <w:textAlignment w:val="auto"/>
        <w:rPr>
          <w:rFonts w:hint="default" w:ascii="Nimbus Roman" w:hAnsi="Nimbus Roman" w:eastAsia="仿宋_GB2312" w:cs="Nimbus Roman"/>
          <w:color w:val="000000"/>
          <w:sz w:val="32"/>
          <w:szCs w:val="32"/>
          <w:lang w:val="en-US" w:eastAsia="zh-CN"/>
        </w:rPr>
      </w:pPr>
      <w:r>
        <w:rPr>
          <w:rFonts w:hint="default" w:ascii="Nimbus Roman" w:hAnsi="Nimbus Roman" w:eastAsia="仿宋" w:cs="Nimbus Roman"/>
          <w:color w:val="000000"/>
          <w:sz w:val="32"/>
          <w:szCs w:val="32"/>
          <w:lang w:val="en-US" w:eastAsia="zh-CN"/>
        </w:rPr>
        <w:t>2026年3月</w:t>
      </w:r>
      <w:r>
        <w:rPr>
          <w:rFonts w:hint="eastAsia" w:ascii="Nimbus Roman" w:hAnsi="Nimbus Roman" w:eastAsia="仿宋" w:cs="Nimbus Roman"/>
          <w:color w:val="000000"/>
          <w:sz w:val="32"/>
          <w:szCs w:val="32"/>
          <w:lang w:val="en-US" w:eastAsia="zh-CN"/>
        </w:rPr>
        <w:t>9</w:t>
      </w:r>
      <w:r>
        <w:rPr>
          <w:rFonts w:hint="default" w:ascii="Nimbus Roman" w:hAnsi="Nimbus Roman" w:eastAsia="仿宋" w:cs="Nimbus Roman"/>
          <w:color w:val="000000"/>
          <w:sz w:val="32"/>
          <w:szCs w:val="32"/>
          <w:lang w:val="en-US" w:eastAsia="zh-CN"/>
        </w:rPr>
        <w:t>日</w:t>
      </w:r>
    </w:p>
    <w:p w14:paraId="3DAA4494">
      <w:pPr>
        <w:keepNext w:val="0"/>
        <w:keepLines w:val="0"/>
        <w:pageBreakBefore w:val="0"/>
        <w:widowControl w:val="0"/>
        <w:shd w:val="clear" w:color="auto" w:fill="auto"/>
        <w:kinsoku/>
        <w:wordWrap/>
        <w:overflowPunct w:val="0"/>
        <w:topLinePunct/>
        <w:autoSpaceDE/>
        <w:autoSpaceDN/>
        <w:bidi w:val="0"/>
        <w:adjustRightInd/>
        <w:snapToGrid/>
        <w:spacing w:line="580" w:lineRule="exact"/>
        <w:ind w:left="0"/>
        <w:jc w:val="both"/>
        <w:textAlignment w:val="auto"/>
        <w:rPr>
          <w:rFonts w:hint="default" w:ascii="Nimbus Roman" w:hAnsi="Nimbus Roman" w:eastAsia="方正小标宋简体" w:cs="Nimbus Roman"/>
          <w:color w:val="000000"/>
          <w:sz w:val="44"/>
          <w:szCs w:val="44"/>
          <w:lang w:val="en-US" w:eastAsia="zh-CN"/>
        </w:rPr>
      </w:pPr>
    </w:p>
    <w:p w14:paraId="205BA89D">
      <w:pPr>
        <w:rPr>
          <w:rFonts w:hint="default" w:ascii="Nimbus Roman" w:hAnsi="Nimbus Roman" w:cs="Nimbus Roman"/>
          <w:lang w:val="en-US" w:eastAsia="zh-CN"/>
        </w:rPr>
      </w:pPr>
    </w:p>
    <w:p w14:paraId="782404CC">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3" w:firstLineChars="200"/>
        <w:jc w:val="both"/>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b/>
          <w:bCs/>
          <w:color w:val="000000"/>
          <w:sz w:val="32"/>
          <w:szCs w:val="32"/>
          <w:lang w:val="en-US" w:eastAsia="zh-CN"/>
        </w:rPr>
        <w:t>2026年，全市司法行政工作的总体任务是：</w:t>
      </w:r>
      <w:r>
        <w:rPr>
          <w:rFonts w:hint="default" w:ascii="Nimbus Roman" w:hAnsi="Nimbus Roman" w:eastAsia="仿宋" w:cs="Nimbus Roman"/>
          <w:color w:val="000000"/>
          <w:sz w:val="32"/>
          <w:szCs w:val="32"/>
          <w:lang w:val="en-US" w:eastAsia="zh-CN"/>
        </w:rPr>
        <w:t>坚持以习近平新时代中国特色社会主义思想为指导，全面贯彻落实党的二十大和二十届历次全会精神，深入践行习近平法治思想和习近平总书记对内蒙古系列重要讲话重要指示精神，深刻领悟“两个确立”的决定性意义，坚决做到“两个维护”，坚持党对司法行政工作的绝对领导，以党的政治建设为统领，以铸牢中华民族共同体意识为主线，发扬优势、补齐短板，夯实基础、规范服务，锐意进取、真抓实干，用高效的法治保障、优质的法律服务、稳定的治理根基，切实提升服务保障全市经济社会高质量发展的能力水平，不断推进新时代司法行政工作高质量发展，为全市“十五五”良好开局贡献法治力量。</w:t>
      </w:r>
    </w:p>
    <w:p w14:paraId="6BB94D5F">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一、围绕中心、服务大局，紧扣工作部署发挥法治保障作用</w:t>
      </w:r>
    </w:p>
    <w:p w14:paraId="0DED05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Nimbus Roman" w:hAnsi="Nimbus Roman" w:eastAsia="仿宋" w:cs="Nimbus Roman"/>
          <w:color w:val="000000"/>
          <w:sz w:val="32"/>
          <w:szCs w:val="32"/>
          <w:lang w:val="en-US" w:eastAsia="zh-CN"/>
        </w:rPr>
      </w:pPr>
      <w:r>
        <w:rPr>
          <w:rFonts w:hint="eastAsia" w:ascii="楷体" w:hAnsi="楷体" w:eastAsia="楷体" w:cs="楷体"/>
          <w:b w:val="0"/>
          <w:bCs w:val="0"/>
          <w:color w:val="auto"/>
          <w:sz w:val="32"/>
          <w:szCs w:val="32"/>
          <w:lang w:val="en-US" w:eastAsia="zh-CN"/>
        </w:rPr>
        <w:t>1.</w:t>
      </w:r>
      <w:r>
        <w:rPr>
          <w:rFonts w:hint="eastAsia" w:ascii="楷体" w:hAnsi="楷体" w:eastAsia="楷体" w:cs="楷体"/>
          <w:b w:val="0"/>
          <w:bCs w:val="0"/>
          <w:color w:val="auto"/>
          <w:sz w:val="32"/>
          <w:szCs w:val="32"/>
        </w:rPr>
        <w:t>以法治之力贯彻铸牢中华民族共同体意识工作主线。</w:t>
      </w:r>
      <w:r>
        <w:rPr>
          <w:rFonts w:hint="default" w:ascii="Nimbus Roman" w:hAnsi="Nimbus Roman" w:eastAsia="仿宋" w:cs="Nimbus Roman"/>
          <w:color w:val="000000"/>
          <w:sz w:val="32"/>
          <w:szCs w:val="32"/>
          <w:lang w:val="en-US" w:eastAsia="zh-CN"/>
        </w:rPr>
        <w:t>全面强化主线意识，健全常态化长效化宣传教育机制，持续加强政治机关建设。加强对地方性法规、政府规章贯彻主线要求的前置审核，强化规范性文件备案审查和清理工作。深入开展民族团结进步法治宣传活动，增强各族群众国家意识、公民意识、法治意识，凝聚中华民族共同体意识共识。</w:t>
      </w:r>
    </w:p>
    <w:p w14:paraId="4CB7DD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2.以法治之力保障五大战略定位和使命任务。</w:t>
      </w:r>
      <w:r>
        <w:rPr>
          <w:rFonts w:hint="default" w:ascii="Nimbus Roman" w:hAnsi="Nimbus Roman" w:eastAsia="仿宋" w:cs="Nimbus Roman"/>
          <w:color w:val="000000"/>
          <w:sz w:val="32"/>
          <w:szCs w:val="32"/>
          <w:lang w:val="en-US" w:eastAsia="zh-CN"/>
        </w:rPr>
        <w:t>履行好政府立法职责，聚焦生态环境保护、文化遗产保护等重点领域，严格立法项目草案审核把关，以高质量立法保障高质量发展。履行好依法行政职责，深入推进法治政府建设，抓好涉府应诉案件法治保障等工作，贯彻实施好“营商环境提升年”具体要求，巩固行政执法“宽松软”整治成果，加强对生态环境保护、安全生产、民生保障等重点领域执法监督，持续推进严格规范公正文明执法。提高行政复议工作质效，努力实现“纠正一案、治理一片”效果。履行好安全稳定职责，深入贯彻总体国家安全观，引导人民群众按照法治化“路线图”化解矛盾纠纷，加强对</w:t>
      </w:r>
      <w:r>
        <w:rPr>
          <w:rFonts w:hint="eastAsia" w:ascii="Nimbus Roman" w:hAnsi="Nimbus Roman" w:eastAsia="仿宋" w:cs="Nimbus Roman"/>
          <w:color w:val="000000"/>
          <w:sz w:val="32"/>
          <w:szCs w:val="32"/>
          <w:lang w:val="en-US" w:eastAsia="zh-CN"/>
        </w:rPr>
        <w:t>戒</w:t>
      </w:r>
      <w:r>
        <w:rPr>
          <w:rFonts w:hint="default" w:ascii="Nimbus Roman" w:hAnsi="Nimbus Roman" w:eastAsia="仿宋" w:cs="Nimbus Roman"/>
          <w:color w:val="000000"/>
          <w:sz w:val="32"/>
          <w:szCs w:val="32"/>
          <w:lang w:val="en-US" w:eastAsia="zh-CN"/>
        </w:rPr>
        <w:t>毒人员、社区矫正对象、刑满释放人员的疏导教育和稳控帮扶，严防安全风险。履行好公共法律服务职责，持续抓好规范提升三年行动，深入推进法治乡村建设，不断提升人民群众对司法所工作的满意度。持续优化法治化营商环境，深入开展“万所联万会”“法治体检”等活动，提升法律服务民营企业质效，为民营经济发展保驾护航。</w:t>
      </w:r>
    </w:p>
    <w:p w14:paraId="1DA22D9F">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3.以法治之力践行党的全面领导和党的建设。</w:t>
      </w:r>
      <w:r>
        <w:rPr>
          <w:rFonts w:hint="eastAsia" w:ascii="Nimbus Roman" w:hAnsi="Nimbus Roman" w:eastAsia="仿宋" w:cs="Nimbus Roman"/>
          <w:color w:val="000000"/>
          <w:sz w:val="32"/>
          <w:szCs w:val="32"/>
          <w:lang w:val="en-US" w:eastAsia="zh-CN"/>
        </w:rPr>
        <w:t>统筹</w:t>
      </w:r>
      <w:r>
        <w:rPr>
          <w:rFonts w:hint="default" w:ascii="Nimbus Roman" w:hAnsi="Nimbus Roman" w:eastAsia="仿宋" w:cs="Nimbus Roman"/>
          <w:color w:val="000000"/>
          <w:sz w:val="32"/>
          <w:szCs w:val="32"/>
          <w:lang w:val="en-US" w:eastAsia="zh-CN"/>
        </w:rPr>
        <w:t>抓好《中国共产党领导全面依法治国工作条例》</w:t>
      </w:r>
      <w:r>
        <w:rPr>
          <w:rFonts w:hint="eastAsia" w:ascii="Nimbus Roman" w:hAnsi="Nimbus Roman" w:eastAsia="仿宋" w:cs="Nimbus Roman"/>
          <w:color w:val="000000"/>
          <w:sz w:val="32"/>
          <w:szCs w:val="32"/>
          <w:lang w:val="en-US" w:eastAsia="zh-CN"/>
        </w:rPr>
        <w:t>学习</w:t>
      </w:r>
      <w:r>
        <w:rPr>
          <w:rFonts w:hint="default" w:ascii="Nimbus Roman" w:hAnsi="Nimbus Roman" w:eastAsia="仿宋" w:cs="Nimbus Roman"/>
          <w:color w:val="000000"/>
          <w:sz w:val="32"/>
          <w:szCs w:val="32"/>
          <w:lang w:val="en-US" w:eastAsia="zh-CN"/>
        </w:rPr>
        <w:t>宣传</w:t>
      </w:r>
      <w:r>
        <w:rPr>
          <w:rFonts w:hint="eastAsia" w:ascii="Nimbus Roman" w:hAnsi="Nimbus Roman" w:eastAsia="仿宋" w:cs="Nimbus Roman"/>
          <w:color w:val="000000"/>
          <w:sz w:val="32"/>
          <w:szCs w:val="32"/>
          <w:lang w:val="en-US" w:eastAsia="zh-CN"/>
        </w:rPr>
        <w:t>贯彻</w:t>
      </w:r>
      <w:r>
        <w:rPr>
          <w:rFonts w:hint="default" w:ascii="Nimbus Roman" w:hAnsi="Nimbus Roman" w:eastAsia="仿宋" w:cs="Nimbus Roman"/>
          <w:color w:val="000000"/>
          <w:sz w:val="32"/>
          <w:szCs w:val="32"/>
          <w:lang w:val="en-US" w:eastAsia="zh-CN"/>
        </w:rPr>
        <w:t>。严格落实“第一议题”制度。充分发挥党建引领作用，找准党建引领法治建设和司法行政发展的切入点，抓好“五个进一步到位”重点工作落实，推动普法宣传、法律援助等便民服务与党员志愿服务有机融合，增强基层党建政治功能和组织功能。全面从严管党治警，持续巩固深入贯彻中央八项规定精神学习教育成果，推动作风建设。</w:t>
      </w:r>
    </w:p>
    <w:p w14:paraId="2F53DC65">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二、聚焦法治建设，统筹推进全面依法治市工作</w:t>
      </w:r>
    </w:p>
    <w:p w14:paraId="558135B3">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4.深入贯彻习近平法治思想。</w:t>
      </w:r>
      <w:r>
        <w:rPr>
          <w:rFonts w:hint="default" w:ascii="Nimbus Roman" w:hAnsi="Nimbus Roman" w:eastAsia="仿宋" w:cs="Nimbus Roman"/>
          <w:color w:val="000000"/>
          <w:sz w:val="32"/>
          <w:szCs w:val="32"/>
          <w:lang w:val="en-US" w:eastAsia="zh-CN"/>
        </w:rPr>
        <w:t>抓好《习近平法治思想学习纲要》《习近平法治文选》等学用工作，推动将习近平法治思想纳入各级理论学习中心组和干部教育培训核心内容，全面开展习近平法治思想宣传教育，推动习近平法治思想深入人心。</w:t>
      </w:r>
    </w:p>
    <w:p w14:paraId="5AB185F7">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5.抓实法治建设重点任务。</w:t>
      </w:r>
      <w:r>
        <w:rPr>
          <w:rFonts w:hint="default" w:ascii="Nimbus Roman" w:hAnsi="Nimbus Roman" w:eastAsia="仿宋" w:cs="Nimbus Roman"/>
          <w:color w:val="000000"/>
          <w:sz w:val="32"/>
          <w:szCs w:val="32"/>
          <w:lang w:val="en-US" w:eastAsia="zh-CN"/>
        </w:rPr>
        <w:t>全面推动《法治中国建设规划（2026—2030年）》落地落实，研究部署“十五五”时期推进全面依法治市、保障和服务法治乌海建设的重点任务、重点项目。加强诚信政府建设，提升政府公信力和执行力。加强法治督察，持续优化法治考核评价体系，强化对中央依法治国工作会议部署任务、《中国共产党领导全面依法治国工作条例》《关于加强新时代司法行政工作的意见》等重点领域、重点任务的督察力度，监督各级党政机关主要负责同志全面履行法治建设第一责任人职责。持续抓好行政机关负责人出庭提示工作，确保出庭率保持100%</w:t>
      </w:r>
      <w:r>
        <w:rPr>
          <w:rFonts w:hint="eastAsia" w:ascii="Nimbus Roman" w:hAnsi="Nimbus Roman" w:eastAsia="仿宋" w:cs="Nimbus Roman"/>
          <w:color w:val="000000"/>
          <w:sz w:val="32"/>
          <w:szCs w:val="32"/>
          <w:lang w:val="en-US" w:eastAsia="zh-CN"/>
        </w:rPr>
        <w:t>。加强行政机关“一把手”出庭应诉，推动行政争议实质性化解</w:t>
      </w:r>
      <w:r>
        <w:rPr>
          <w:rFonts w:hint="default" w:ascii="Nimbus Roman" w:hAnsi="Nimbus Roman" w:eastAsia="仿宋" w:cs="Nimbus Roman"/>
          <w:color w:val="000000"/>
          <w:sz w:val="32"/>
          <w:szCs w:val="32"/>
          <w:lang w:val="en-US" w:eastAsia="zh-CN"/>
        </w:rPr>
        <w:t>。积极申报法治政府建设示范创建地区和项目，推动法治乌海建设再上台阶。</w:t>
      </w:r>
    </w:p>
    <w:p w14:paraId="459061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6.统筹推进行政立法。</w:t>
      </w:r>
      <w:r>
        <w:rPr>
          <w:rFonts w:hint="default" w:ascii="Nimbus Roman" w:hAnsi="Nimbus Roman" w:eastAsia="仿宋" w:cs="Nimbus Roman"/>
          <w:color w:val="000000"/>
          <w:sz w:val="32"/>
          <w:szCs w:val="32"/>
          <w:lang w:val="en-US" w:eastAsia="zh-CN"/>
        </w:rPr>
        <w:t>加强对《乌海市小三线军工文化遗产保护条例》《乌海市工业园区环境综合治理条例》及《乌海市海勃湾生态涵养区保护条例（修订案）》《乌海市矿区环境综合治理条例（修订案）》等立法项目的合法性审核，充分发挥政府立法基层联系点作用，广泛征求群众意见建议，确保立法贴合实际。</w:t>
      </w:r>
    </w:p>
    <w:p w14:paraId="74EEE7BD">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三、聚焦依法行政，全面优化法治化营商环境</w:t>
      </w:r>
    </w:p>
    <w:p w14:paraId="2CF88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7.依法规范行政决策。</w:t>
      </w:r>
      <w:r>
        <w:rPr>
          <w:rFonts w:hint="default" w:ascii="Nimbus Roman" w:hAnsi="Nimbus Roman" w:eastAsia="仿宋" w:cs="Nimbus Roman"/>
          <w:color w:val="000000"/>
          <w:sz w:val="32"/>
          <w:szCs w:val="32"/>
          <w:lang w:val="en-US" w:eastAsia="zh-CN"/>
        </w:rPr>
        <w:t>严格落实重大行政决策程序，科学规范编制年度重大行政决策目录，推动重大行政决策落地实施。加强重大行政决策合法性审查，制定完善合法性审核工作制度，扎实开展规范性文件专项清理，确保行政决策合法合规、科学民主。深化党政机关法律顾问制度落实，引导各部门法律顾问全面参与依法决策，防范行政决策法律风险。</w:t>
      </w:r>
    </w:p>
    <w:p w14:paraId="40DCB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8.强化行政执法监督质效。</w:t>
      </w:r>
      <w:r>
        <w:rPr>
          <w:rFonts w:hint="default" w:ascii="Nimbus Roman" w:hAnsi="Nimbus Roman" w:eastAsia="仿宋" w:cs="Nimbus Roman"/>
          <w:color w:val="000000"/>
          <w:sz w:val="32"/>
          <w:szCs w:val="32"/>
          <w:lang w:val="en-US" w:eastAsia="zh-CN"/>
        </w:rPr>
        <w:t>贯彻落实中央办公厅国务院办公厅《关于加强行政执法协调监督工作体系建设的意见》，实施《行政执法监督条例》，健全契合执法实际的行政执法人员培训体系，全面提升行政执法人员能力素质和执法水平。常态化开展涉企行政执法监督，健全规范涉企行政执法长效机制，优化“无事不扰”监管模式，全面推广“扫码入企”系统应用，推行非现场监管模式，依法保护各类市场主体合法权益。严格实施行政执法案卷“月评查”工作机制，认真落实《内蒙古自治区重大行政处罚备案监督办法》，切实提升重大行政处罚备案监督质效。</w:t>
      </w:r>
    </w:p>
    <w:p w14:paraId="0057E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9.提升行政复议办案质效。</w:t>
      </w:r>
      <w:r>
        <w:rPr>
          <w:rFonts w:hint="default" w:ascii="Nimbus Roman" w:hAnsi="Nimbus Roman" w:eastAsia="仿宋" w:cs="Nimbus Roman"/>
          <w:color w:val="000000"/>
          <w:sz w:val="32"/>
          <w:szCs w:val="32"/>
          <w:lang w:val="en-US" w:eastAsia="zh-CN"/>
        </w:rPr>
        <w:t>健全完善行政复议工作机制，做深做细行政争议实质性化解、提升监督依法行政效能，推动行政复议化解行政争议主渠道作用充分发挥。深化府院联动，促进裁判标准和法律适用统一，进一步提升行政复议公信力。</w:t>
      </w:r>
    </w:p>
    <w:p w14:paraId="01098ECD">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四、聚焦法治为民，提升公共法律服务质量</w:t>
      </w:r>
    </w:p>
    <w:p w14:paraId="1B15E2E0">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10.全面提升法律服务水平和质量。</w:t>
      </w:r>
      <w:r>
        <w:rPr>
          <w:rFonts w:hint="default" w:ascii="Nimbus Roman" w:hAnsi="Nimbus Roman" w:eastAsia="仿宋" w:cs="Nimbus Roman"/>
          <w:color w:val="000000"/>
          <w:sz w:val="32"/>
          <w:szCs w:val="32"/>
          <w:lang w:val="en-US" w:eastAsia="zh-CN"/>
        </w:rPr>
        <w:t>持续深化</w:t>
      </w:r>
      <w:r>
        <w:rPr>
          <w:rFonts w:hint="eastAsia" w:ascii="Nimbus Roman" w:hAnsi="Nimbus Roman" w:eastAsia="仿宋" w:cs="Nimbus Roman"/>
          <w:color w:val="000000"/>
          <w:sz w:val="32"/>
          <w:szCs w:val="32"/>
          <w:lang w:val="en-US" w:eastAsia="zh-CN"/>
        </w:rPr>
        <w:t>法律服务行业</w:t>
      </w:r>
      <w:r>
        <w:rPr>
          <w:rFonts w:hint="default" w:ascii="Nimbus Roman" w:hAnsi="Nimbus Roman" w:eastAsia="仿宋" w:cs="Nimbus Roman"/>
          <w:color w:val="000000"/>
          <w:sz w:val="32"/>
          <w:szCs w:val="32"/>
          <w:lang w:val="en-US" w:eastAsia="zh-CN"/>
        </w:rPr>
        <w:t>党建引领，规范律师行业党委、律师事务所党支部、智诚公证处党支部建设，强化思想政治引领，确保法律服务工作正确政治方向。继续开展“公证规范优质”行动，坚决杜绝受理办理难、办证速度慢、服务不到位等问题，推动公证服务提质增效。全面开展案件质量评查，推动评查结果与公证年度考核、司法鉴定诚信等级评估挂钩，彻底消除法律援助不合格案卷，规范律师、公证、基层法律服务、司法鉴定、仲裁等行业投诉处理流程，及时回应群众诉求，切实推动全市公共法律服务水平和质量大幅提升。全面贯彻新修订仲裁法，全面扩宽仲裁服务领域，加强对仲裁机构及组成人员监督，建立对仲裁员的360度评价考核机制，全力提升仲裁案件质量，推进仲裁积案动态清零，完成自治区反馈问题整改，切实提升仲裁工作规范化水平。</w:t>
      </w:r>
    </w:p>
    <w:p w14:paraId="40BA5B50">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11.聚焦群众需求，切实拓宽法律服务应用场景。</w:t>
      </w:r>
      <w:r>
        <w:rPr>
          <w:rFonts w:hint="default" w:ascii="Nimbus Roman" w:hAnsi="Nimbus Roman" w:eastAsia="仿宋" w:cs="Nimbus Roman"/>
          <w:color w:val="000000"/>
          <w:sz w:val="32"/>
          <w:szCs w:val="32"/>
          <w:lang w:val="en-US" w:eastAsia="zh-CN"/>
        </w:rPr>
        <w:t>深化“一刻钟公共法律服务圈”建设，持续开展“百名律师进乡村”“法援惠民生”等行动，织密城乡法律援助服务网，实现乡镇（街道）、社区（村）全覆盖、真覆盖，提升法律援助供给效能，保障经济困难人群法律援助“应援尽援、应援优援”，全市每10万人提供法律援助不少于115件。促进民营经济高质量发展，成立助企法律服务专班，吸纳资深律师、仲裁员、公证员等专业力量，为企业提供全链条法律服务。各区司法局依托公共法律服务中心，打造民营企业维权服务中心，建立投诉快速响应机制，实行“接诉即办”，确保辖区企业诉求得到有效处理。</w:t>
      </w:r>
    </w:p>
    <w:p w14:paraId="49682893">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12.实现“九五”普法良好开局。</w:t>
      </w:r>
      <w:r>
        <w:rPr>
          <w:rFonts w:hint="default" w:ascii="Nimbus Roman" w:hAnsi="Nimbus Roman" w:eastAsia="仿宋" w:cs="Nimbus Roman"/>
          <w:color w:val="000000"/>
          <w:sz w:val="32"/>
          <w:szCs w:val="32"/>
          <w:lang w:val="en-US" w:eastAsia="zh-CN"/>
        </w:rPr>
        <w:t>持续推动领导干部学法用法，推动新修订、新出台法律法规和党内法规学习宣传。编制我市“九五”普法规划，完善各单位普法责任清单，全面贯彻《中华人民共和国法治宣传教育法》，做深做实“普法早市”“普法云课堂”等特色普法品牌，开展“每月一主题”普法宣传教育活动，构建“媒体+阵地”“线上+线下”全时空、全覆盖的普法宣传格局，切实提升人民群众普法满意率。</w:t>
      </w:r>
    </w:p>
    <w:p w14:paraId="3D0850B8">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五、聚焦平安建设，提升基层社会治理水平</w:t>
      </w:r>
    </w:p>
    <w:p w14:paraId="1FBE3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13.做强司法所工作。</w:t>
      </w:r>
      <w:r>
        <w:rPr>
          <w:rFonts w:hint="default" w:ascii="Nimbus Roman" w:hAnsi="Nimbus Roman" w:eastAsia="仿宋" w:cs="Nimbus Roman"/>
          <w:color w:val="000000"/>
          <w:sz w:val="32"/>
          <w:szCs w:val="32"/>
          <w:lang w:val="en-US" w:eastAsia="zh-CN"/>
        </w:rPr>
        <w:t>落实《司法所条例》，实施司法部、中央社会工作部、中央政法委、财政部《关于充分发挥司法所职能服务基层社会治理工作的意见》，</w:t>
      </w:r>
      <w:r>
        <w:rPr>
          <w:rFonts w:hint="eastAsia" w:ascii="Nimbus Roman" w:hAnsi="Nimbus Roman" w:eastAsia="仿宋" w:cs="Nimbus Roman"/>
          <w:color w:val="000000"/>
          <w:sz w:val="32"/>
          <w:szCs w:val="32"/>
          <w:lang w:val="en-US" w:eastAsia="zh-CN"/>
        </w:rPr>
        <w:t>做实</w:t>
      </w:r>
      <w:r>
        <w:rPr>
          <w:rFonts w:hint="default" w:ascii="Nimbus Roman" w:hAnsi="Nimbus Roman" w:eastAsia="仿宋" w:cs="Nimbus Roman"/>
          <w:color w:val="000000"/>
          <w:sz w:val="32"/>
          <w:szCs w:val="32"/>
          <w:lang w:val="en-US" w:eastAsia="zh-CN"/>
        </w:rPr>
        <w:t>司法部“司法所三年行动计划”</w:t>
      </w:r>
      <w:r>
        <w:rPr>
          <w:rFonts w:hint="eastAsia" w:ascii="Nimbus Roman" w:hAnsi="Nimbus Roman" w:eastAsia="仿宋" w:cs="Nimbus Roman"/>
          <w:color w:val="000000"/>
          <w:sz w:val="32"/>
          <w:szCs w:val="32"/>
          <w:lang w:val="en-US" w:eastAsia="zh-CN"/>
        </w:rPr>
        <w:t>，</w:t>
      </w:r>
      <w:r>
        <w:rPr>
          <w:rFonts w:hint="default" w:ascii="Nimbus Roman" w:hAnsi="Nimbus Roman" w:eastAsia="仿宋" w:cs="Nimbus Roman"/>
          <w:color w:val="000000"/>
          <w:sz w:val="32"/>
          <w:szCs w:val="32"/>
          <w:lang w:val="en-US" w:eastAsia="zh-CN"/>
        </w:rPr>
        <w:t>全力提升司法所规范化、标准化建设水平。持续推进青年律师到司法所锻炼、干警下基层活动，夯实司法行政基层基础。</w:t>
      </w:r>
    </w:p>
    <w:p w14:paraId="32A776A1">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国标仿宋" w:cs="Nimbus Roman"/>
          <w:b w:val="0"/>
          <w:bCs w:val="0"/>
          <w:color w:val="auto"/>
          <w:sz w:val="32"/>
          <w:szCs w:val="32"/>
          <w:lang w:val="en-US" w:eastAsia="zh-CN"/>
        </w:rPr>
      </w:pPr>
      <w:r>
        <w:rPr>
          <w:rFonts w:hint="default" w:ascii="楷体" w:hAnsi="楷体" w:eastAsia="楷体" w:cs="楷体"/>
          <w:b w:val="0"/>
          <w:bCs w:val="0"/>
          <w:color w:val="auto"/>
          <w:sz w:val="32"/>
          <w:szCs w:val="32"/>
          <w:lang w:val="en-US" w:eastAsia="zh-CN"/>
        </w:rPr>
        <w:t>14.做实矛盾纠纷调解。</w:t>
      </w:r>
      <w:r>
        <w:rPr>
          <w:rFonts w:hint="default" w:ascii="Nimbus Roman" w:hAnsi="Nimbus Roman" w:eastAsia="仿宋" w:cs="Nimbus Roman"/>
          <w:color w:val="000000"/>
          <w:sz w:val="32"/>
          <w:szCs w:val="32"/>
          <w:lang w:val="en-US" w:eastAsia="zh-CN"/>
        </w:rPr>
        <w:t>深入实施矛盾纠纷排查化解工程，扎实开展“大走访、大排查、大化解”行动。加强人民调解组织建设，打造一批特色化、品牌化调解组织和个人品牌调解工作室，强化行业性专业性调解组织建设，支持配合各级综治中心建设，推动矛盾纠纷实质化解。贯彻落实《商事调解工作条例》，规范已成立商事调解机构活动，督促其依法依规办理执业手续。</w:t>
      </w:r>
    </w:p>
    <w:p w14:paraId="4F2956BA">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15.做好强制隔离戒毒工作。</w:t>
      </w:r>
      <w:r>
        <w:rPr>
          <w:rFonts w:hint="default" w:ascii="Nimbus Roman" w:hAnsi="Nimbus Roman" w:eastAsia="仿宋" w:cs="Nimbus Roman"/>
          <w:color w:val="000000"/>
          <w:sz w:val="32"/>
          <w:szCs w:val="32"/>
          <w:lang w:val="en-US" w:eastAsia="zh-CN"/>
        </w:rPr>
        <w:t>严守安全底线，强化民警安全意识，严厉打击“捎买带”等违规违纪行为，常态化开展消防安全、生产习艺、重点部位等领域隐患排查整治，及时纠正不规范行为、消除安全隐患，确保场所持续安全稳定。完善个性化矫治方案，丰富教育矫正形式，深化校企合作，助力戒毒人员顺利回归社会。</w:t>
      </w:r>
    </w:p>
    <w:p w14:paraId="5F494D04">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国标仿宋" w:cs="Nimbus Roman"/>
          <w:b w:val="0"/>
          <w:bCs w:val="0"/>
          <w:color w:val="auto"/>
          <w:sz w:val="32"/>
          <w:szCs w:val="32"/>
          <w:lang w:val="en-US" w:eastAsia="zh-CN"/>
        </w:rPr>
      </w:pPr>
      <w:r>
        <w:rPr>
          <w:rFonts w:hint="default" w:ascii="楷体" w:hAnsi="楷体" w:eastAsia="楷体" w:cs="楷体"/>
          <w:b w:val="0"/>
          <w:bCs w:val="0"/>
          <w:color w:val="auto"/>
          <w:sz w:val="32"/>
          <w:szCs w:val="32"/>
          <w:lang w:val="en-US" w:eastAsia="zh-CN"/>
        </w:rPr>
        <w:t>16.做好重点群体管控。</w:t>
      </w:r>
      <w:r>
        <w:rPr>
          <w:rFonts w:hint="default" w:ascii="Nimbus Roman" w:hAnsi="Nimbus Roman" w:eastAsia="仿宋" w:cs="Nimbus Roman"/>
          <w:color w:val="000000"/>
          <w:sz w:val="32"/>
          <w:szCs w:val="32"/>
          <w:lang w:val="en-US" w:eastAsia="zh-CN"/>
        </w:rPr>
        <w:t>大力充实社区矫正力量，鼓励社会力量参与社区矫正工作，推动社会工作者足额配备，依法落实分级管理和个别化矫正措施，确保不发生脱管现象。加强刑满释放人员衔接管理，积极争取各类帮扶救助政策，定期开展走访慰问，防止漏管失控。强化安全生产、保密、信访管理，加强意识形态工作责任制落实和舆情分析研判，完善各类应急处置预案</w:t>
      </w:r>
      <w:r>
        <w:rPr>
          <w:rFonts w:hint="eastAsia" w:ascii="Nimbus Roman" w:hAnsi="Nimbus Roman" w:eastAsia="仿宋" w:cs="Nimbus Roman"/>
          <w:color w:val="000000"/>
          <w:sz w:val="32"/>
          <w:szCs w:val="32"/>
          <w:lang w:val="en-US" w:eastAsia="zh-CN"/>
        </w:rPr>
        <w:t>。</w:t>
      </w:r>
    </w:p>
    <w:p w14:paraId="47604368">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六、聚焦队伍建设，锻造新时代司法行政铁军</w:t>
      </w:r>
    </w:p>
    <w:p w14:paraId="70F972C1">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17.抓好司法行政干部队伍建设。</w:t>
      </w:r>
      <w:r>
        <w:rPr>
          <w:rFonts w:hint="default" w:ascii="Nimbus Roman" w:hAnsi="Nimbus Roman" w:eastAsia="仿宋" w:cs="Nimbus Roman"/>
          <w:color w:val="000000"/>
          <w:sz w:val="32"/>
          <w:szCs w:val="32"/>
          <w:lang w:val="en-US" w:eastAsia="zh-CN"/>
        </w:rPr>
        <w:t>加大招录、比选和事业单位人员招聘力度，着力提升队伍法治专业化能力，筑牢人才保障根基。</w:t>
      </w:r>
    </w:p>
    <w:p w14:paraId="0EAE4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18.加强法治人才队伍建设。</w:t>
      </w:r>
      <w:r>
        <w:rPr>
          <w:rFonts w:hint="default" w:ascii="Nimbus Roman" w:hAnsi="Nimbus Roman" w:eastAsia="仿宋" w:cs="Nimbus Roman"/>
          <w:color w:val="000000"/>
          <w:sz w:val="32"/>
          <w:szCs w:val="32"/>
          <w:lang w:val="en-US" w:eastAsia="zh-CN"/>
        </w:rPr>
        <w:t>精心组织实施国家统一法律职业资格考试乌海考区工作。加强行政复议、律师、公证员、司法鉴定人、仲裁员、调解员等队伍履职能力建设，强化教育培训和实战锻炼，提升法律服务工作者业务能力和专业素养。</w:t>
      </w:r>
    </w:p>
    <w:p w14:paraId="4F11E9D7">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19.鼓励干部实干担当。</w:t>
      </w:r>
      <w:r>
        <w:rPr>
          <w:rFonts w:hint="default" w:ascii="Nimbus Roman" w:hAnsi="Nimbus Roman" w:eastAsia="仿宋" w:cs="Nimbus Roman"/>
          <w:color w:val="000000"/>
          <w:sz w:val="32"/>
          <w:szCs w:val="32"/>
          <w:lang w:val="en-US" w:eastAsia="zh-CN"/>
        </w:rPr>
        <w:t>持续优化干部考核评价机制，加强模范榜样宣传和先进典型选树，营造“干部为事业担当、组织为干部担当”的良好氛围。深入落实整治形式主义为基层减负要求，改进工作方式、简化工作流程。</w:t>
      </w:r>
    </w:p>
    <w:p w14:paraId="2C665D54">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七、聚焦全面从严治党，持续深化正风肃纪反腐</w:t>
      </w:r>
    </w:p>
    <w:p w14:paraId="625EB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国标黑体" w:cs="Nimbus Roman"/>
          <w:b w:val="0"/>
          <w:bCs w:val="0"/>
          <w:color w:val="auto"/>
          <w:sz w:val="32"/>
          <w:szCs w:val="32"/>
          <w:lang w:val="en-US" w:eastAsia="zh-CN"/>
        </w:rPr>
      </w:pPr>
      <w:r>
        <w:rPr>
          <w:rFonts w:hint="default" w:ascii="楷体" w:hAnsi="楷体" w:eastAsia="楷体" w:cs="楷体"/>
          <w:b w:val="0"/>
          <w:bCs w:val="0"/>
          <w:color w:val="auto"/>
          <w:sz w:val="32"/>
          <w:szCs w:val="32"/>
          <w:lang w:val="en-US" w:eastAsia="zh-CN"/>
        </w:rPr>
        <w:t>20.强化政治建设，加强党对司法行政工作的绝对领导。</w:t>
      </w:r>
      <w:r>
        <w:rPr>
          <w:rFonts w:hint="default" w:ascii="Nimbus Roman" w:hAnsi="Nimbus Roman" w:eastAsia="仿宋" w:cs="Nimbus Roman"/>
          <w:color w:val="000000"/>
          <w:sz w:val="32"/>
          <w:szCs w:val="32"/>
          <w:lang w:val="en-US" w:eastAsia="zh-CN"/>
        </w:rPr>
        <w:t>深入开展树立和践行正确政绩观学习教育，坚持学查改一体推进，着力完善制度、立好规矩。持续深化理想信念教育、对党忠诚教育和政治机关意识教育，持续开展“感党恩、听党话、跟党走”群众教育，筑牢司法行政机关政治忠诚根基。</w:t>
      </w:r>
    </w:p>
    <w:p w14:paraId="4F54AE83">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21.深化作风建设，巩固拓展深入贯彻中央八项规定</w:t>
      </w:r>
      <w:r>
        <w:rPr>
          <w:rFonts w:hint="eastAsia" w:ascii="楷体" w:hAnsi="楷体" w:eastAsia="楷体" w:cs="楷体"/>
          <w:b w:val="0"/>
          <w:bCs w:val="0"/>
          <w:color w:val="auto"/>
          <w:sz w:val="32"/>
          <w:szCs w:val="32"/>
          <w:lang w:val="en-US" w:eastAsia="zh-CN"/>
        </w:rPr>
        <w:t>精神</w:t>
      </w:r>
      <w:bookmarkStart w:id="0" w:name="_GoBack"/>
      <w:bookmarkEnd w:id="0"/>
      <w:r>
        <w:rPr>
          <w:rFonts w:hint="default" w:ascii="楷体" w:hAnsi="楷体" w:eastAsia="楷体" w:cs="楷体"/>
          <w:b w:val="0"/>
          <w:bCs w:val="0"/>
          <w:color w:val="auto"/>
          <w:sz w:val="32"/>
          <w:szCs w:val="32"/>
          <w:lang w:val="en-US" w:eastAsia="zh-CN"/>
        </w:rPr>
        <w:t>学习教育成果。</w:t>
      </w:r>
      <w:r>
        <w:rPr>
          <w:rFonts w:hint="default" w:ascii="Nimbus Roman" w:hAnsi="Nimbus Roman" w:eastAsia="仿宋" w:cs="Nimbus Roman"/>
          <w:color w:val="000000"/>
          <w:sz w:val="32"/>
          <w:szCs w:val="32"/>
          <w:lang w:val="en-US" w:eastAsia="zh-CN"/>
        </w:rPr>
        <w:t>持续落实全面从严治党责任。锲而不舍落实中央八项规定精神，推进作风建设常态化长效化，驰而不息纠治“四风”顽疾，持续深化整治违规吃喝、违规收送礼品礼金等突出问题。严肃财经纪律，坚持从严从简、带头过紧日子，抓好转移支付资金和三公经费支出管理。严格执行《整治形式主义为基层减负若干规定》，持续纠治“形象工程”“政绩工程”，开展好“慢粗虚”问题整治“回头看”。</w:t>
      </w:r>
    </w:p>
    <w:p w14:paraId="6CE10522">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Nimbus Roman" w:hAnsi="Nimbus Roman" w:eastAsia="仿宋" w:cs="Nimbus Roman"/>
          <w:color w:val="000000"/>
          <w:sz w:val="32"/>
          <w:szCs w:val="32"/>
          <w:lang w:val="en-US" w:eastAsia="zh-CN"/>
        </w:rPr>
      </w:pPr>
      <w:r>
        <w:rPr>
          <w:rFonts w:hint="default" w:ascii="楷体" w:hAnsi="楷体" w:eastAsia="楷体" w:cs="楷体"/>
          <w:b w:val="0"/>
          <w:bCs w:val="0"/>
          <w:color w:val="auto"/>
          <w:sz w:val="32"/>
          <w:szCs w:val="32"/>
          <w:lang w:val="en-US" w:eastAsia="zh-CN"/>
        </w:rPr>
        <w:t>22.抓实重点工作，推进全面从严治党纵深发展。</w:t>
      </w:r>
      <w:r>
        <w:rPr>
          <w:rFonts w:hint="default" w:ascii="Nimbus Roman" w:hAnsi="Nimbus Roman" w:eastAsia="仿宋" w:cs="Nimbus Roman"/>
          <w:color w:val="000000"/>
          <w:sz w:val="32"/>
          <w:szCs w:val="32"/>
          <w:lang w:val="en-US" w:eastAsia="zh-CN"/>
        </w:rPr>
        <w:t>贯彻落实“4+10”重点任务中涉及“四乱”、违规异地执法和趋利性执法等群腐问题整治，持续推进规范涉企行政执法专项行动、罚没收入异常增长审计发现问题整改等上年度延续任务落实，切实营造公平正义执法环境。抓好选人用人不正之风集中整治，扎实开展学习研讨、全员教育、自查自纠等环节工作，切实提升整治成效。</w:t>
      </w:r>
    </w:p>
    <w:p w14:paraId="3CD51AC3">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0"/>
        <w:jc w:val="center"/>
        <w:textAlignment w:val="auto"/>
        <w:rPr>
          <w:rFonts w:hint="default" w:ascii="Nimbus Roman" w:hAnsi="Nimbus Roman" w:eastAsia="方正小标宋简体" w:cs="Nimbus Roman"/>
          <w:b w:val="0"/>
          <w:bCs w:val="0"/>
          <w:color w:val="auto"/>
          <w:sz w:val="44"/>
          <w:szCs w:val="44"/>
          <w:lang w:val="en-US" w:eastAsia="zh-CN"/>
        </w:rPr>
      </w:pPr>
    </w:p>
    <w:p w14:paraId="39EEBAAC">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0"/>
        <w:jc w:val="both"/>
        <w:textAlignment w:val="auto"/>
        <w:rPr>
          <w:rFonts w:hint="default" w:ascii="Nimbus Roman" w:hAnsi="Nimbus Roman" w:eastAsia="方正小标宋简体" w:cs="Nimbus Roman"/>
          <w:b w:val="0"/>
          <w:bCs w:val="0"/>
          <w:color w:val="auto"/>
          <w:sz w:val="44"/>
          <w:szCs w:val="44"/>
          <w:lang w:val="en-US" w:eastAsia="zh-CN"/>
        </w:rPr>
      </w:pPr>
    </w:p>
    <w:p w14:paraId="12484991">
      <w:pPr>
        <w:keepNext w:val="0"/>
        <w:keepLines w:val="0"/>
        <w:pageBreakBefore w:val="0"/>
        <w:kinsoku/>
        <w:wordWrap/>
        <w:overflowPunct/>
        <w:topLinePunct w:val="0"/>
        <w:autoSpaceDE/>
        <w:autoSpaceDN/>
        <w:bidi w:val="0"/>
        <w:adjustRightInd/>
        <w:snapToGrid/>
        <w:spacing w:line="560" w:lineRule="exact"/>
        <w:textAlignment w:val="auto"/>
        <w:rPr>
          <w:rFonts w:hint="default" w:ascii="Nimbus Roman" w:hAnsi="Nimbus Roman" w:cs="Nimbus Roman"/>
          <w:sz w:val="36"/>
          <w:szCs w:val="36"/>
        </w:rPr>
      </w:pPr>
    </w:p>
    <w:p w14:paraId="2D0E5165">
      <w:pPr>
        <w:pStyle w:val="2"/>
        <w:rPr>
          <w:rFonts w:hint="default" w:ascii="Nimbus Roman" w:hAnsi="Nimbus Roman" w:cs="Nimbus Roman"/>
          <w:sz w:val="36"/>
          <w:szCs w:val="36"/>
        </w:rPr>
      </w:pPr>
    </w:p>
    <w:p w14:paraId="754BF8BC">
      <w:pPr>
        <w:pStyle w:val="3"/>
        <w:rPr>
          <w:rFonts w:hint="default" w:ascii="Nimbus Roman" w:hAnsi="Nimbus Roman" w:cs="Nimbus Roman"/>
          <w:sz w:val="36"/>
          <w:szCs w:val="36"/>
        </w:rPr>
      </w:pPr>
    </w:p>
    <w:p w14:paraId="10451BD0">
      <w:pPr>
        <w:pStyle w:val="3"/>
        <w:rPr>
          <w:rFonts w:hint="default" w:ascii="Nimbus Roman" w:hAnsi="Nimbus Roman" w:cs="Nimbus Roman"/>
          <w:sz w:val="36"/>
          <w:szCs w:val="36"/>
        </w:rPr>
      </w:pPr>
    </w:p>
    <w:p w14:paraId="780D0CF7">
      <w:pPr>
        <w:pStyle w:val="3"/>
        <w:rPr>
          <w:rFonts w:hint="default" w:ascii="Nimbus Roman" w:hAnsi="Nimbus Roman" w:cs="Nimbus Roman"/>
          <w:sz w:val="36"/>
          <w:szCs w:val="36"/>
        </w:rPr>
      </w:pPr>
    </w:p>
    <w:p w14:paraId="0D30B189">
      <w:pPr>
        <w:pStyle w:val="3"/>
        <w:rPr>
          <w:rFonts w:hint="default" w:ascii="Nimbus Roman" w:hAnsi="Nimbus Roman" w:cs="Nimbus Roman"/>
          <w:sz w:val="36"/>
          <w:szCs w:val="36"/>
        </w:rPr>
      </w:pPr>
    </w:p>
    <w:p w14:paraId="47636AD8">
      <w:pPr>
        <w:pStyle w:val="3"/>
        <w:rPr>
          <w:rFonts w:hint="default" w:ascii="Nimbus Roman" w:hAnsi="Nimbus Roman" w:cs="Nimbus Roman"/>
          <w:sz w:val="36"/>
          <w:szCs w:val="36"/>
        </w:rPr>
      </w:pPr>
    </w:p>
    <w:p w14:paraId="25971C6D">
      <w:pPr>
        <w:pStyle w:val="3"/>
        <w:rPr>
          <w:rFonts w:hint="default" w:ascii="Nimbus Roman" w:hAnsi="Nimbus Roman" w:cs="Nimbus Roman"/>
          <w:sz w:val="36"/>
          <w:szCs w:val="36"/>
        </w:rPr>
      </w:pPr>
    </w:p>
    <w:p w14:paraId="63EB713F">
      <w:pPr>
        <w:pStyle w:val="3"/>
        <w:rPr>
          <w:rFonts w:hint="default" w:ascii="Nimbus Roman" w:hAnsi="Nimbus Roman" w:cs="Nimbus Roman"/>
          <w:sz w:val="36"/>
          <w:szCs w:val="36"/>
        </w:rPr>
      </w:pPr>
    </w:p>
    <w:p w14:paraId="317377C5">
      <w:pPr>
        <w:pStyle w:val="3"/>
        <w:rPr>
          <w:rFonts w:hint="default" w:ascii="Nimbus Roman" w:hAnsi="Nimbus Roman" w:cs="Nimbus Roman"/>
          <w:sz w:val="36"/>
          <w:szCs w:val="36"/>
        </w:rPr>
      </w:pPr>
    </w:p>
    <w:p w14:paraId="0CFE2336">
      <w:pPr>
        <w:pStyle w:val="3"/>
        <w:rPr>
          <w:rFonts w:hint="default" w:ascii="Nimbus Roman" w:hAnsi="Nimbus Roman" w:cs="Nimbus Roman"/>
          <w:sz w:val="36"/>
          <w:szCs w:val="36"/>
        </w:rPr>
      </w:pPr>
    </w:p>
    <w:p w14:paraId="3F90E688">
      <w:pPr>
        <w:pStyle w:val="3"/>
        <w:rPr>
          <w:rFonts w:hint="default" w:ascii="Nimbus Roman" w:hAnsi="Nimbus Roman" w:cs="Nimbus Roman"/>
          <w:sz w:val="36"/>
          <w:szCs w:val="36"/>
        </w:rPr>
      </w:pPr>
    </w:p>
    <w:p w14:paraId="7C5EB26A">
      <w:pPr>
        <w:pStyle w:val="3"/>
        <w:rPr>
          <w:rFonts w:hint="default" w:ascii="Nimbus Roman" w:hAnsi="Nimbus Roman" w:cs="Nimbus Roman"/>
          <w:sz w:val="36"/>
          <w:szCs w:val="36"/>
        </w:rPr>
      </w:pPr>
    </w:p>
    <w:p w14:paraId="2A62DA1B">
      <w:pPr>
        <w:pStyle w:val="3"/>
        <w:rPr>
          <w:rFonts w:hint="default" w:ascii="Nimbus Roman" w:hAnsi="Nimbus Roman" w:cs="Nimbus Roman"/>
          <w:sz w:val="36"/>
          <w:szCs w:val="36"/>
        </w:rPr>
      </w:pPr>
    </w:p>
    <w:p w14:paraId="1320DE4B">
      <w:pPr>
        <w:pStyle w:val="3"/>
        <w:rPr>
          <w:rFonts w:hint="default" w:ascii="Nimbus Roman" w:hAnsi="Nimbus Roman" w:cs="Nimbus Roman"/>
          <w:sz w:val="36"/>
          <w:szCs w:val="36"/>
        </w:rPr>
      </w:pPr>
    </w:p>
    <w:p w14:paraId="690B96B5">
      <w:pPr>
        <w:pStyle w:val="3"/>
        <w:keepNext w:val="0"/>
        <w:keepLines w:val="0"/>
        <w:pageBreakBefore w:val="0"/>
        <w:widowControl w:val="0"/>
        <w:kinsoku/>
        <w:wordWrap/>
        <w:autoSpaceDE/>
        <w:autoSpaceDN/>
        <w:bidi w:val="0"/>
        <w:adjustRightInd/>
        <w:snapToGrid/>
        <w:spacing w:line="240" w:lineRule="exact"/>
        <w:textAlignment w:val="auto"/>
        <w:rPr>
          <w:rFonts w:hint="default" w:ascii="Nimbus Roman" w:hAnsi="Nimbus Roman" w:cs="Nimbus Roman"/>
          <w:sz w:val="36"/>
          <w:szCs w:val="36"/>
        </w:rPr>
      </w:pPr>
    </w:p>
    <w:p w14:paraId="477D5BEA">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snapToGrid/>
        <w:spacing w:before="0" w:beforeAutospacing="0" w:after="0" w:afterAutospacing="0" w:line="240" w:lineRule="exact"/>
        <w:ind w:right="0" w:rightChars="0" w:firstLine="636" w:firstLineChars="200"/>
        <w:jc w:val="both"/>
        <w:textAlignment w:val="auto"/>
        <w:rPr>
          <w:rFonts w:hint="default" w:ascii="Nimbus Roman" w:hAnsi="Nimbus Roman" w:eastAsia="仿宋" w:cs="Nimbus Roman"/>
          <w:color w:val="000000"/>
          <w:spacing w:val="-1"/>
          <w:kern w:val="2"/>
          <w:sz w:val="32"/>
          <w:szCs w:val="32"/>
          <w:lang w:val="en-US" w:eastAsia="zh-CN" w:bidi="ar-SA"/>
        </w:rPr>
      </w:pPr>
    </w:p>
    <w:p w14:paraId="2DDE2AB0">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Nimbus Roman" w:hAnsi="Nimbus Roman" w:eastAsia="仿宋_GB2312" w:cs="Nimbus Roman"/>
          <w:sz w:val="32"/>
          <w:szCs w:val="32"/>
          <w:lang w:val="en-US" w:eastAsia="zh-CN"/>
        </w:rPr>
      </w:pPr>
    </w:p>
    <w:p w14:paraId="5C8E7FCA">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2B58693D">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1BBD5F3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221CA38E">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532B3725">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43A0B360">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4AF8272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2C111DFD">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1766B72C">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468528DC">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32A7F0F0">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6352F5FF">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0006528B">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ascii="Nimbus Roman" w:hAnsi="Nimbus Roman" w:eastAsia="仿宋" w:cs="Nimbus Roman"/>
          <w:spacing w:val="-12"/>
          <w:sz w:val="32"/>
          <w:szCs w:val="32"/>
        </w:rPr>
      </w:pPr>
    </w:p>
    <w:p w14:paraId="13AE345D">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40" w:lineRule="exact"/>
        <w:ind w:firstLine="280" w:firstLineChars="100"/>
        <w:textAlignment w:val="auto"/>
        <w:rPr>
          <w:rFonts w:hint="default" w:ascii="Nimbus Roman" w:hAnsi="Nimbus Roman" w:cs="Nimbus Roman"/>
          <w:lang w:val="en-US" w:eastAsia="zh-CN"/>
        </w:rPr>
      </w:pPr>
      <w:r>
        <w:rPr>
          <w:rFonts w:hint="default" w:ascii="Nimbus Roman" w:hAnsi="Nimbus Roman" w:eastAsia="仿宋_GB2312" w:cs="Nimbus Roman"/>
          <w:sz w:val="28"/>
          <w:szCs w:val="28"/>
          <w:lang w:val="en-US" w:eastAsia="zh-CN"/>
        </w:rPr>
        <w:t xml:space="preserve"> </w:t>
      </w:r>
      <w:r>
        <w:rPr>
          <w:rFonts w:hint="default" w:ascii="Nimbus Roman" w:hAnsi="Nimbus Roman" w:eastAsia="仿宋_GB2312" w:cs="Nimbus Roman"/>
          <w:sz w:val="28"/>
          <w:szCs w:val="28"/>
        </w:rPr>
        <w:t xml:space="preserve">乌海市司法局办公室                   </w:t>
      </w:r>
      <w:r>
        <w:rPr>
          <w:rFonts w:hint="default" w:ascii="Nimbus Roman" w:hAnsi="Nimbus Roman" w:eastAsia="仿宋_GB2312" w:cs="Nimbus Roman"/>
          <w:sz w:val="28"/>
          <w:szCs w:val="28"/>
          <w:lang w:val="en-US" w:eastAsia="zh-CN"/>
        </w:rPr>
        <w:t xml:space="preserve"> </w:t>
      </w:r>
      <w:r>
        <w:rPr>
          <w:rFonts w:hint="default" w:ascii="Nimbus Roman" w:hAnsi="Nimbus Roman" w:eastAsia="仿宋_GB2312" w:cs="Nimbus Roman"/>
          <w:sz w:val="28"/>
          <w:szCs w:val="28"/>
        </w:rPr>
        <w:t>202</w:t>
      </w:r>
      <w:r>
        <w:rPr>
          <w:rFonts w:hint="eastAsia" w:ascii="Nimbus Roman" w:hAnsi="Nimbus Roman" w:eastAsia="仿宋_GB2312" w:cs="Nimbus Roman"/>
          <w:sz w:val="28"/>
          <w:szCs w:val="28"/>
          <w:lang w:val="en-US" w:eastAsia="zh-CN"/>
        </w:rPr>
        <w:t>6</w:t>
      </w:r>
      <w:r>
        <w:rPr>
          <w:rFonts w:hint="default" w:ascii="Nimbus Roman" w:hAnsi="Nimbus Roman" w:eastAsia="仿宋_GB2312" w:cs="Nimbus Roman"/>
          <w:sz w:val="28"/>
          <w:szCs w:val="28"/>
        </w:rPr>
        <w:t>年</w:t>
      </w:r>
      <w:r>
        <w:rPr>
          <w:rFonts w:hint="eastAsia" w:ascii="Nimbus Roman" w:hAnsi="Nimbus Roman" w:eastAsia="仿宋_GB2312" w:cs="Nimbus Roman"/>
          <w:sz w:val="28"/>
          <w:szCs w:val="28"/>
          <w:lang w:val="en-US" w:eastAsia="zh-CN"/>
        </w:rPr>
        <w:t>3</w:t>
      </w:r>
      <w:r>
        <w:rPr>
          <w:rFonts w:hint="default" w:ascii="Nimbus Roman" w:hAnsi="Nimbus Roman" w:eastAsia="仿宋_GB2312" w:cs="Nimbus Roman"/>
          <w:sz w:val="28"/>
          <w:szCs w:val="28"/>
        </w:rPr>
        <w:t>月</w:t>
      </w:r>
      <w:r>
        <w:rPr>
          <w:rFonts w:hint="eastAsia" w:ascii="Nimbus Roman" w:hAnsi="Nimbus Roman" w:eastAsia="仿宋_GB2312" w:cs="Nimbus Roman"/>
          <w:sz w:val="28"/>
          <w:szCs w:val="28"/>
          <w:lang w:val="en-US" w:eastAsia="zh-CN"/>
        </w:rPr>
        <w:t>9</w:t>
      </w:r>
      <w:r>
        <w:rPr>
          <w:rFonts w:hint="default" w:ascii="Nimbus Roman" w:hAnsi="Nimbus Roman" w:eastAsia="仿宋_GB2312" w:cs="Nimbus Roman"/>
          <w:sz w:val="28"/>
          <w:szCs w:val="28"/>
        </w:rPr>
        <w:t>日印发</w:t>
      </w:r>
      <w:r>
        <w:rPr>
          <w:rFonts w:hint="default" w:ascii="Nimbus Roman" w:hAnsi="Nimbus Roman" w:eastAsia="仿宋_GB2312" w:cs="Nimbus Roman"/>
          <w:sz w:val="28"/>
          <w:szCs w:val="28"/>
          <w:lang w:val="en-US" w:eastAsia="zh-CN"/>
        </w:rPr>
        <w:t xml:space="preserve"> </w:t>
      </w:r>
    </w:p>
    <w:sectPr>
      <w:headerReference r:id="rId3" w:type="default"/>
      <w:footerReference r:id="rId5" w:type="default"/>
      <w:headerReference r:id="rId4" w:type="even"/>
      <w:footerReference r:id="rId6" w:type="even"/>
      <w:pgSz w:w="11906" w:h="16838"/>
      <w:pgMar w:top="2098" w:right="1474" w:bottom="1984"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w:altName w:val="DejaVu Math TeX Gyre"/>
    <w:panose1 w:val="00000500000000000000"/>
    <w:charset w:val="00"/>
    <w:family w:val="auto"/>
    <w:pitch w:val="default"/>
    <w:sig w:usb0="00000000" w:usb1="000000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国标仿宋">
    <w:altName w:val="仿宋"/>
    <w:panose1 w:val="02000500000000000000"/>
    <w:charset w:val="86"/>
    <w:family w:val="auto"/>
    <w:pitch w:val="default"/>
    <w:sig w:usb0="00000000" w:usb1="00000000" w:usb2="00000016"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B28D">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D5E4">
                          <w:pPr>
                            <w:pStyle w:val="11"/>
                            <w:rPr>
                              <w:rStyle w:val="20"/>
                              <w:sz w:val="28"/>
                              <w:szCs w:val="28"/>
                            </w:rPr>
                          </w:pPr>
                          <w:r>
                            <w:rPr>
                              <w:rStyle w:val="20"/>
                              <w:rFonts w:hint="eastAsia" w:ascii="宋体" w:hAnsi="宋体"/>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7</w:t>
                          </w:r>
                          <w:r>
                            <w:rPr>
                              <w:rStyle w:val="20"/>
                              <w:sz w:val="28"/>
                              <w:szCs w:val="28"/>
                            </w:rPr>
                            <w:fldChar w:fldCharType="end"/>
                          </w:r>
                          <w:r>
                            <w:rPr>
                              <w:rStyle w:val="20"/>
                              <w:rFonts w:hint="eastAsia"/>
                              <w:sz w:val="28"/>
                              <w:szCs w:val="28"/>
                            </w:rPr>
                            <w:t xml:space="preserve"> </w:t>
                          </w:r>
                          <w:r>
                            <w:rPr>
                              <w:rStyle w:val="2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9D5E4">
                    <w:pPr>
                      <w:pStyle w:val="11"/>
                      <w:rPr>
                        <w:rStyle w:val="20"/>
                        <w:sz w:val="28"/>
                        <w:szCs w:val="28"/>
                      </w:rPr>
                    </w:pPr>
                    <w:r>
                      <w:rPr>
                        <w:rStyle w:val="20"/>
                        <w:rFonts w:hint="eastAsia" w:ascii="宋体" w:hAnsi="宋体"/>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7</w:t>
                    </w:r>
                    <w:r>
                      <w:rPr>
                        <w:rStyle w:val="20"/>
                        <w:sz w:val="28"/>
                        <w:szCs w:val="28"/>
                      </w:rPr>
                      <w:fldChar w:fldCharType="end"/>
                    </w:r>
                    <w:r>
                      <w:rPr>
                        <w:rStyle w:val="20"/>
                        <w:rFonts w:hint="eastAsia"/>
                        <w:sz w:val="28"/>
                        <w:szCs w:val="28"/>
                      </w:rPr>
                      <w:t xml:space="preserve"> </w:t>
                    </w:r>
                    <w:r>
                      <w:rPr>
                        <w:rStyle w:val="20"/>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F773">
    <w:pPr>
      <w:pStyle w:val="11"/>
      <w:framePr w:wrap="around" w:vAnchor="text" w:hAnchor="page" w:x="1524" w:y="-401"/>
      <w:rPr>
        <w:rStyle w:val="20"/>
        <w:sz w:val="28"/>
        <w:szCs w:val="28"/>
      </w:rPr>
    </w:pPr>
    <w:r>
      <w:rPr>
        <w:rStyle w:val="20"/>
        <w:rFonts w:hint="eastAsia" w:ascii="宋体" w:hAnsi="宋体"/>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8</w:t>
    </w:r>
    <w:r>
      <w:rPr>
        <w:rStyle w:val="20"/>
        <w:sz w:val="28"/>
        <w:szCs w:val="28"/>
      </w:rPr>
      <w:fldChar w:fldCharType="end"/>
    </w:r>
    <w:r>
      <w:rPr>
        <w:rStyle w:val="20"/>
        <w:rFonts w:hint="eastAsia"/>
        <w:sz w:val="28"/>
        <w:szCs w:val="28"/>
      </w:rPr>
      <w:t xml:space="preserve"> </w:t>
    </w:r>
    <w:r>
      <w:rPr>
        <w:rStyle w:val="20"/>
        <w:rFonts w:hint="eastAsia" w:ascii="宋体" w:hAnsi="宋体"/>
        <w:sz w:val="28"/>
        <w:szCs w:val="28"/>
      </w:rPr>
      <w:t>—</w:t>
    </w:r>
  </w:p>
  <w:p w14:paraId="4E911AAF">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9F3F">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8909">
    <w:pPr>
      <w:pStyle w:val="12"/>
      <w:pBdr>
        <w:bottom w:val="none" w:color="auto" w:sz="0" w:space="1"/>
      </w:pBdr>
      <w:tabs>
        <w:tab w:val="clear" w:pos="4153"/>
      </w:tabs>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NGU3ZmE5NzVkOGQ1NzJmZDhjYjQ4MWY4ZDY2YmEifQ=="/>
  </w:docVars>
  <w:rsids>
    <w:rsidRoot w:val="00126207"/>
    <w:rsid w:val="0000281D"/>
    <w:rsid w:val="00005DA9"/>
    <w:rsid w:val="0002392D"/>
    <w:rsid w:val="00031853"/>
    <w:rsid w:val="00047037"/>
    <w:rsid w:val="00053C88"/>
    <w:rsid w:val="00055786"/>
    <w:rsid w:val="00067D07"/>
    <w:rsid w:val="00090607"/>
    <w:rsid w:val="00091F19"/>
    <w:rsid w:val="000A1957"/>
    <w:rsid w:val="000A3C10"/>
    <w:rsid w:val="000A5D33"/>
    <w:rsid w:val="000B2985"/>
    <w:rsid w:val="000B56DD"/>
    <w:rsid w:val="000C1FD2"/>
    <w:rsid w:val="000C4E87"/>
    <w:rsid w:val="000C5AC2"/>
    <w:rsid w:val="000D1E7C"/>
    <w:rsid w:val="000D5AD5"/>
    <w:rsid w:val="000D78DB"/>
    <w:rsid w:val="000E1631"/>
    <w:rsid w:val="000E365A"/>
    <w:rsid w:val="000E7356"/>
    <w:rsid w:val="000F52F7"/>
    <w:rsid w:val="000F6137"/>
    <w:rsid w:val="001007E5"/>
    <w:rsid w:val="00100E6A"/>
    <w:rsid w:val="00104106"/>
    <w:rsid w:val="00107CEA"/>
    <w:rsid w:val="00111A84"/>
    <w:rsid w:val="0011205B"/>
    <w:rsid w:val="001232CE"/>
    <w:rsid w:val="00126207"/>
    <w:rsid w:val="00127C93"/>
    <w:rsid w:val="00131891"/>
    <w:rsid w:val="001320A7"/>
    <w:rsid w:val="00132605"/>
    <w:rsid w:val="0014245F"/>
    <w:rsid w:val="00142E0A"/>
    <w:rsid w:val="00153D57"/>
    <w:rsid w:val="00156E7A"/>
    <w:rsid w:val="00163D72"/>
    <w:rsid w:val="001657FD"/>
    <w:rsid w:val="00176490"/>
    <w:rsid w:val="00183B36"/>
    <w:rsid w:val="00187056"/>
    <w:rsid w:val="00190142"/>
    <w:rsid w:val="001A03F9"/>
    <w:rsid w:val="001A21B2"/>
    <w:rsid w:val="001A3C80"/>
    <w:rsid w:val="001A4D84"/>
    <w:rsid w:val="001A4FDA"/>
    <w:rsid w:val="001A681A"/>
    <w:rsid w:val="001A6CB4"/>
    <w:rsid w:val="001B64A7"/>
    <w:rsid w:val="001B6D26"/>
    <w:rsid w:val="001C1D0E"/>
    <w:rsid w:val="001D38FE"/>
    <w:rsid w:val="001D56E7"/>
    <w:rsid w:val="001D60BB"/>
    <w:rsid w:val="001D66F8"/>
    <w:rsid w:val="001F6F96"/>
    <w:rsid w:val="00202F35"/>
    <w:rsid w:val="0020457A"/>
    <w:rsid w:val="00212933"/>
    <w:rsid w:val="002135F7"/>
    <w:rsid w:val="002228AD"/>
    <w:rsid w:val="002257A9"/>
    <w:rsid w:val="00226F16"/>
    <w:rsid w:val="002273E3"/>
    <w:rsid w:val="00227B89"/>
    <w:rsid w:val="00230A58"/>
    <w:rsid w:val="00231D2C"/>
    <w:rsid w:val="00234689"/>
    <w:rsid w:val="0025294A"/>
    <w:rsid w:val="00253E71"/>
    <w:rsid w:val="00256010"/>
    <w:rsid w:val="002573E6"/>
    <w:rsid w:val="002718CF"/>
    <w:rsid w:val="002749D8"/>
    <w:rsid w:val="00277B12"/>
    <w:rsid w:val="00281479"/>
    <w:rsid w:val="00282FF4"/>
    <w:rsid w:val="002917AD"/>
    <w:rsid w:val="0029280C"/>
    <w:rsid w:val="00297CEF"/>
    <w:rsid w:val="002B08A6"/>
    <w:rsid w:val="002B2535"/>
    <w:rsid w:val="002C2412"/>
    <w:rsid w:val="002D13D7"/>
    <w:rsid w:val="002D4953"/>
    <w:rsid w:val="002D514E"/>
    <w:rsid w:val="002D6372"/>
    <w:rsid w:val="002E4C91"/>
    <w:rsid w:val="002E5BB2"/>
    <w:rsid w:val="002F0168"/>
    <w:rsid w:val="002F188B"/>
    <w:rsid w:val="002F1A4A"/>
    <w:rsid w:val="002F2EED"/>
    <w:rsid w:val="003027CC"/>
    <w:rsid w:val="00315838"/>
    <w:rsid w:val="00315B0E"/>
    <w:rsid w:val="00316643"/>
    <w:rsid w:val="00317EFC"/>
    <w:rsid w:val="0032062A"/>
    <w:rsid w:val="00325257"/>
    <w:rsid w:val="00333694"/>
    <w:rsid w:val="00333FAE"/>
    <w:rsid w:val="003360A8"/>
    <w:rsid w:val="00340900"/>
    <w:rsid w:val="00366E6D"/>
    <w:rsid w:val="0036707E"/>
    <w:rsid w:val="003710C2"/>
    <w:rsid w:val="003715FA"/>
    <w:rsid w:val="00374A0F"/>
    <w:rsid w:val="0037514B"/>
    <w:rsid w:val="00392189"/>
    <w:rsid w:val="003A2CDA"/>
    <w:rsid w:val="003A4ED6"/>
    <w:rsid w:val="003B00CE"/>
    <w:rsid w:val="003B5D6D"/>
    <w:rsid w:val="003C3E7F"/>
    <w:rsid w:val="003C4C70"/>
    <w:rsid w:val="003C7065"/>
    <w:rsid w:val="003D34EC"/>
    <w:rsid w:val="003E0304"/>
    <w:rsid w:val="003E4481"/>
    <w:rsid w:val="003E5B22"/>
    <w:rsid w:val="003F4C65"/>
    <w:rsid w:val="003F5C59"/>
    <w:rsid w:val="00401976"/>
    <w:rsid w:val="004027FE"/>
    <w:rsid w:val="0041586E"/>
    <w:rsid w:val="0041646C"/>
    <w:rsid w:val="004165CC"/>
    <w:rsid w:val="00423F56"/>
    <w:rsid w:val="00426FCF"/>
    <w:rsid w:val="0043157D"/>
    <w:rsid w:val="004343C9"/>
    <w:rsid w:val="00434434"/>
    <w:rsid w:val="00441D05"/>
    <w:rsid w:val="004469AF"/>
    <w:rsid w:val="004555B7"/>
    <w:rsid w:val="004627D3"/>
    <w:rsid w:val="00462CC4"/>
    <w:rsid w:val="00467B87"/>
    <w:rsid w:val="00480DBB"/>
    <w:rsid w:val="004817CC"/>
    <w:rsid w:val="00482F16"/>
    <w:rsid w:val="004868D3"/>
    <w:rsid w:val="004918E7"/>
    <w:rsid w:val="004944FB"/>
    <w:rsid w:val="004967BA"/>
    <w:rsid w:val="004A38B7"/>
    <w:rsid w:val="004B1DF9"/>
    <w:rsid w:val="004B5BC3"/>
    <w:rsid w:val="004C1580"/>
    <w:rsid w:val="004C2642"/>
    <w:rsid w:val="004C7269"/>
    <w:rsid w:val="004E190F"/>
    <w:rsid w:val="004E36BA"/>
    <w:rsid w:val="004E3DF0"/>
    <w:rsid w:val="004E65AC"/>
    <w:rsid w:val="005068F6"/>
    <w:rsid w:val="0050707D"/>
    <w:rsid w:val="0051579A"/>
    <w:rsid w:val="00524B1B"/>
    <w:rsid w:val="005279F9"/>
    <w:rsid w:val="00527F7F"/>
    <w:rsid w:val="005303C9"/>
    <w:rsid w:val="00535208"/>
    <w:rsid w:val="00546BEF"/>
    <w:rsid w:val="00553D58"/>
    <w:rsid w:val="0056556E"/>
    <w:rsid w:val="00584225"/>
    <w:rsid w:val="005848D6"/>
    <w:rsid w:val="00586F47"/>
    <w:rsid w:val="0059649E"/>
    <w:rsid w:val="005B1F0A"/>
    <w:rsid w:val="005B2409"/>
    <w:rsid w:val="005C144B"/>
    <w:rsid w:val="005C4BBC"/>
    <w:rsid w:val="005D073D"/>
    <w:rsid w:val="005E3BB2"/>
    <w:rsid w:val="005F5947"/>
    <w:rsid w:val="006024E1"/>
    <w:rsid w:val="0060501B"/>
    <w:rsid w:val="00606326"/>
    <w:rsid w:val="00606948"/>
    <w:rsid w:val="0061181C"/>
    <w:rsid w:val="00617D5A"/>
    <w:rsid w:val="00625170"/>
    <w:rsid w:val="006339C3"/>
    <w:rsid w:val="00644731"/>
    <w:rsid w:val="00644DD3"/>
    <w:rsid w:val="00656903"/>
    <w:rsid w:val="00657D31"/>
    <w:rsid w:val="006733EC"/>
    <w:rsid w:val="00673904"/>
    <w:rsid w:val="006761F9"/>
    <w:rsid w:val="00684B8C"/>
    <w:rsid w:val="00692FFA"/>
    <w:rsid w:val="006963D6"/>
    <w:rsid w:val="00696520"/>
    <w:rsid w:val="006A1208"/>
    <w:rsid w:val="006A758E"/>
    <w:rsid w:val="006A7785"/>
    <w:rsid w:val="006B57AF"/>
    <w:rsid w:val="006C0A2D"/>
    <w:rsid w:val="006C5DA6"/>
    <w:rsid w:val="006D0616"/>
    <w:rsid w:val="006D10FF"/>
    <w:rsid w:val="006D4ED7"/>
    <w:rsid w:val="006D5500"/>
    <w:rsid w:val="006D7D48"/>
    <w:rsid w:val="006E046F"/>
    <w:rsid w:val="006E2BA1"/>
    <w:rsid w:val="006F01D5"/>
    <w:rsid w:val="006F1427"/>
    <w:rsid w:val="006F4B35"/>
    <w:rsid w:val="006F644A"/>
    <w:rsid w:val="0070527E"/>
    <w:rsid w:val="00705537"/>
    <w:rsid w:val="00705D64"/>
    <w:rsid w:val="00713794"/>
    <w:rsid w:val="007161A7"/>
    <w:rsid w:val="00720AD1"/>
    <w:rsid w:val="00725F91"/>
    <w:rsid w:val="00750732"/>
    <w:rsid w:val="007522EF"/>
    <w:rsid w:val="007548E7"/>
    <w:rsid w:val="00760CCA"/>
    <w:rsid w:val="00761C17"/>
    <w:rsid w:val="00767E05"/>
    <w:rsid w:val="00774B00"/>
    <w:rsid w:val="00776E1C"/>
    <w:rsid w:val="00777677"/>
    <w:rsid w:val="00780258"/>
    <w:rsid w:val="00787E78"/>
    <w:rsid w:val="007A071D"/>
    <w:rsid w:val="007A331C"/>
    <w:rsid w:val="007B2F57"/>
    <w:rsid w:val="007B4E2E"/>
    <w:rsid w:val="007C011E"/>
    <w:rsid w:val="007C0515"/>
    <w:rsid w:val="007D03BC"/>
    <w:rsid w:val="007D2FE4"/>
    <w:rsid w:val="007D3AF3"/>
    <w:rsid w:val="007E3ED5"/>
    <w:rsid w:val="007E405A"/>
    <w:rsid w:val="007E4073"/>
    <w:rsid w:val="007E61FC"/>
    <w:rsid w:val="007F4F83"/>
    <w:rsid w:val="008047E6"/>
    <w:rsid w:val="00806F05"/>
    <w:rsid w:val="0081400E"/>
    <w:rsid w:val="00815806"/>
    <w:rsid w:val="0081799A"/>
    <w:rsid w:val="00825A3E"/>
    <w:rsid w:val="00826410"/>
    <w:rsid w:val="00826D4B"/>
    <w:rsid w:val="00830CCC"/>
    <w:rsid w:val="00851422"/>
    <w:rsid w:val="00860F23"/>
    <w:rsid w:val="0087165C"/>
    <w:rsid w:val="008833C7"/>
    <w:rsid w:val="00884EC1"/>
    <w:rsid w:val="00885BEA"/>
    <w:rsid w:val="00892E44"/>
    <w:rsid w:val="00894F78"/>
    <w:rsid w:val="0089569A"/>
    <w:rsid w:val="008A1F05"/>
    <w:rsid w:val="008A35B2"/>
    <w:rsid w:val="008A4A34"/>
    <w:rsid w:val="008B1284"/>
    <w:rsid w:val="008B19C8"/>
    <w:rsid w:val="008D4EE3"/>
    <w:rsid w:val="008E5741"/>
    <w:rsid w:val="008F3F91"/>
    <w:rsid w:val="008F78D2"/>
    <w:rsid w:val="008F7C26"/>
    <w:rsid w:val="00903B0E"/>
    <w:rsid w:val="0090464C"/>
    <w:rsid w:val="009049AB"/>
    <w:rsid w:val="009132F7"/>
    <w:rsid w:val="009201D2"/>
    <w:rsid w:val="0092089D"/>
    <w:rsid w:val="0092286A"/>
    <w:rsid w:val="00922F01"/>
    <w:rsid w:val="00925CA9"/>
    <w:rsid w:val="00930EE6"/>
    <w:rsid w:val="00931B19"/>
    <w:rsid w:val="00933386"/>
    <w:rsid w:val="00936A11"/>
    <w:rsid w:val="00942F7C"/>
    <w:rsid w:val="00945B14"/>
    <w:rsid w:val="00971B7C"/>
    <w:rsid w:val="00975044"/>
    <w:rsid w:val="00976FCB"/>
    <w:rsid w:val="009808BC"/>
    <w:rsid w:val="009949A1"/>
    <w:rsid w:val="00996EA7"/>
    <w:rsid w:val="009A2225"/>
    <w:rsid w:val="009C03DC"/>
    <w:rsid w:val="009C474B"/>
    <w:rsid w:val="009C7E72"/>
    <w:rsid w:val="009D117F"/>
    <w:rsid w:val="009D1CFE"/>
    <w:rsid w:val="009E0714"/>
    <w:rsid w:val="009E1785"/>
    <w:rsid w:val="009E545D"/>
    <w:rsid w:val="009E574D"/>
    <w:rsid w:val="009E7726"/>
    <w:rsid w:val="00A069E6"/>
    <w:rsid w:val="00A10F77"/>
    <w:rsid w:val="00A12F83"/>
    <w:rsid w:val="00A15057"/>
    <w:rsid w:val="00A25CD9"/>
    <w:rsid w:val="00A35E0A"/>
    <w:rsid w:val="00A464FD"/>
    <w:rsid w:val="00A55DD8"/>
    <w:rsid w:val="00A60B3A"/>
    <w:rsid w:val="00A720AF"/>
    <w:rsid w:val="00A75E1E"/>
    <w:rsid w:val="00A86409"/>
    <w:rsid w:val="00A87B29"/>
    <w:rsid w:val="00A924C5"/>
    <w:rsid w:val="00A94912"/>
    <w:rsid w:val="00AA27C8"/>
    <w:rsid w:val="00AC2ED4"/>
    <w:rsid w:val="00AE1C7D"/>
    <w:rsid w:val="00AE64BD"/>
    <w:rsid w:val="00AF0486"/>
    <w:rsid w:val="00AF32E9"/>
    <w:rsid w:val="00B02C67"/>
    <w:rsid w:val="00B033C5"/>
    <w:rsid w:val="00B03E31"/>
    <w:rsid w:val="00B07A57"/>
    <w:rsid w:val="00B11173"/>
    <w:rsid w:val="00B20200"/>
    <w:rsid w:val="00B31483"/>
    <w:rsid w:val="00B377FC"/>
    <w:rsid w:val="00B415D3"/>
    <w:rsid w:val="00B43A0C"/>
    <w:rsid w:val="00B44E62"/>
    <w:rsid w:val="00B4643E"/>
    <w:rsid w:val="00B52597"/>
    <w:rsid w:val="00B63C20"/>
    <w:rsid w:val="00B65555"/>
    <w:rsid w:val="00B777CF"/>
    <w:rsid w:val="00B81499"/>
    <w:rsid w:val="00B82C35"/>
    <w:rsid w:val="00B86ABE"/>
    <w:rsid w:val="00B86B54"/>
    <w:rsid w:val="00B86B9A"/>
    <w:rsid w:val="00B903FB"/>
    <w:rsid w:val="00B93B33"/>
    <w:rsid w:val="00BB7E74"/>
    <w:rsid w:val="00BD48A6"/>
    <w:rsid w:val="00BD7C3B"/>
    <w:rsid w:val="00BE1DEF"/>
    <w:rsid w:val="00BE3757"/>
    <w:rsid w:val="00BE6FB3"/>
    <w:rsid w:val="00BF09BD"/>
    <w:rsid w:val="00BF5934"/>
    <w:rsid w:val="00BF689D"/>
    <w:rsid w:val="00C038B7"/>
    <w:rsid w:val="00C07804"/>
    <w:rsid w:val="00C1272F"/>
    <w:rsid w:val="00C1615B"/>
    <w:rsid w:val="00C17A47"/>
    <w:rsid w:val="00C224B1"/>
    <w:rsid w:val="00C42AA2"/>
    <w:rsid w:val="00C5032E"/>
    <w:rsid w:val="00C538BD"/>
    <w:rsid w:val="00C53F47"/>
    <w:rsid w:val="00C540B4"/>
    <w:rsid w:val="00C775CF"/>
    <w:rsid w:val="00C90855"/>
    <w:rsid w:val="00C913F9"/>
    <w:rsid w:val="00CA521D"/>
    <w:rsid w:val="00CB0ECD"/>
    <w:rsid w:val="00CD18DD"/>
    <w:rsid w:val="00CD26AB"/>
    <w:rsid w:val="00CE3D4D"/>
    <w:rsid w:val="00CE3F42"/>
    <w:rsid w:val="00CF096F"/>
    <w:rsid w:val="00CF3419"/>
    <w:rsid w:val="00CF34ED"/>
    <w:rsid w:val="00CF3748"/>
    <w:rsid w:val="00CF3F13"/>
    <w:rsid w:val="00CF5453"/>
    <w:rsid w:val="00D02592"/>
    <w:rsid w:val="00D07B9A"/>
    <w:rsid w:val="00D25D84"/>
    <w:rsid w:val="00D27EEF"/>
    <w:rsid w:val="00D30668"/>
    <w:rsid w:val="00D3374C"/>
    <w:rsid w:val="00D348E6"/>
    <w:rsid w:val="00D352B5"/>
    <w:rsid w:val="00D3531B"/>
    <w:rsid w:val="00D42FC6"/>
    <w:rsid w:val="00D50509"/>
    <w:rsid w:val="00D60EFA"/>
    <w:rsid w:val="00D63C07"/>
    <w:rsid w:val="00D72FF5"/>
    <w:rsid w:val="00D77AF6"/>
    <w:rsid w:val="00D77C9C"/>
    <w:rsid w:val="00D8332F"/>
    <w:rsid w:val="00D836B2"/>
    <w:rsid w:val="00D844BF"/>
    <w:rsid w:val="00D848BE"/>
    <w:rsid w:val="00DA09D4"/>
    <w:rsid w:val="00DA53B2"/>
    <w:rsid w:val="00DA56A5"/>
    <w:rsid w:val="00DA66D3"/>
    <w:rsid w:val="00DC35C4"/>
    <w:rsid w:val="00DC7257"/>
    <w:rsid w:val="00DC7E2D"/>
    <w:rsid w:val="00DD175A"/>
    <w:rsid w:val="00DD7953"/>
    <w:rsid w:val="00DE23A5"/>
    <w:rsid w:val="00DE45BF"/>
    <w:rsid w:val="00DE534F"/>
    <w:rsid w:val="00DF0AC4"/>
    <w:rsid w:val="00DF0B30"/>
    <w:rsid w:val="00DF1DD8"/>
    <w:rsid w:val="00DF21B1"/>
    <w:rsid w:val="00DF30DA"/>
    <w:rsid w:val="00E017C9"/>
    <w:rsid w:val="00E14096"/>
    <w:rsid w:val="00E23213"/>
    <w:rsid w:val="00E27AA2"/>
    <w:rsid w:val="00E33471"/>
    <w:rsid w:val="00E33FC0"/>
    <w:rsid w:val="00E34BDA"/>
    <w:rsid w:val="00E378CD"/>
    <w:rsid w:val="00E452B4"/>
    <w:rsid w:val="00E45EDE"/>
    <w:rsid w:val="00E467E6"/>
    <w:rsid w:val="00E468A8"/>
    <w:rsid w:val="00E50B7B"/>
    <w:rsid w:val="00E578B0"/>
    <w:rsid w:val="00E63432"/>
    <w:rsid w:val="00E768AF"/>
    <w:rsid w:val="00E8600B"/>
    <w:rsid w:val="00EA1D9B"/>
    <w:rsid w:val="00EA7228"/>
    <w:rsid w:val="00EB2E65"/>
    <w:rsid w:val="00EB33D3"/>
    <w:rsid w:val="00EB508E"/>
    <w:rsid w:val="00EB5117"/>
    <w:rsid w:val="00EB7D86"/>
    <w:rsid w:val="00EC2753"/>
    <w:rsid w:val="00EC292D"/>
    <w:rsid w:val="00EC54F4"/>
    <w:rsid w:val="00ED2653"/>
    <w:rsid w:val="00EE29C8"/>
    <w:rsid w:val="00EE3B89"/>
    <w:rsid w:val="00EE5701"/>
    <w:rsid w:val="00EE7D54"/>
    <w:rsid w:val="00EF26C7"/>
    <w:rsid w:val="00EF2D2C"/>
    <w:rsid w:val="00EF4A90"/>
    <w:rsid w:val="00EF61F3"/>
    <w:rsid w:val="00F00198"/>
    <w:rsid w:val="00F01310"/>
    <w:rsid w:val="00F1647D"/>
    <w:rsid w:val="00F205C8"/>
    <w:rsid w:val="00F236D3"/>
    <w:rsid w:val="00F32303"/>
    <w:rsid w:val="00F3439E"/>
    <w:rsid w:val="00F45135"/>
    <w:rsid w:val="00F66523"/>
    <w:rsid w:val="00F70782"/>
    <w:rsid w:val="00F76654"/>
    <w:rsid w:val="00F7792D"/>
    <w:rsid w:val="00F90EEF"/>
    <w:rsid w:val="00F96E37"/>
    <w:rsid w:val="00FA690A"/>
    <w:rsid w:val="00FB0899"/>
    <w:rsid w:val="00FB0EA4"/>
    <w:rsid w:val="00FB4226"/>
    <w:rsid w:val="00FB4FC3"/>
    <w:rsid w:val="00FF12CE"/>
    <w:rsid w:val="00FF5534"/>
    <w:rsid w:val="00FF7DCD"/>
    <w:rsid w:val="01052496"/>
    <w:rsid w:val="02896E8A"/>
    <w:rsid w:val="03962305"/>
    <w:rsid w:val="07347FFB"/>
    <w:rsid w:val="08F0070A"/>
    <w:rsid w:val="0A6568C6"/>
    <w:rsid w:val="0CAA1E4B"/>
    <w:rsid w:val="0D04187A"/>
    <w:rsid w:val="12B92386"/>
    <w:rsid w:val="13975009"/>
    <w:rsid w:val="13C33F08"/>
    <w:rsid w:val="13D115E7"/>
    <w:rsid w:val="13E96481"/>
    <w:rsid w:val="146D0C8F"/>
    <w:rsid w:val="17FB2994"/>
    <w:rsid w:val="181A5BCF"/>
    <w:rsid w:val="18B57ABA"/>
    <w:rsid w:val="1B9841AB"/>
    <w:rsid w:val="1D883485"/>
    <w:rsid w:val="1DDE2D22"/>
    <w:rsid w:val="20120475"/>
    <w:rsid w:val="226A4C31"/>
    <w:rsid w:val="240115C5"/>
    <w:rsid w:val="24063F35"/>
    <w:rsid w:val="244D0366"/>
    <w:rsid w:val="25D16ACE"/>
    <w:rsid w:val="28D41056"/>
    <w:rsid w:val="29C76C7B"/>
    <w:rsid w:val="2A5A1A2F"/>
    <w:rsid w:val="2B7D5B42"/>
    <w:rsid w:val="2BDAEFD3"/>
    <w:rsid w:val="2E2C36E3"/>
    <w:rsid w:val="2EB55628"/>
    <w:rsid w:val="2F5F9C18"/>
    <w:rsid w:val="303B7C0D"/>
    <w:rsid w:val="30804CD3"/>
    <w:rsid w:val="30D2231F"/>
    <w:rsid w:val="31235C95"/>
    <w:rsid w:val="32A322FB"/>
    <w:rsid w:val="33884F17"/>
    <w:rsid w:val="37BF17DA"/>
    <w:rsid w:val="37FEE413"/>
    <w:rsid w:val="381940C7"/>
    <w:rsid w:val="3902576C"/>
    <w:rsid w:val="395B4E7C"/>
    <w:rsid w:val="397FF4B6"/>
    <w:rsid w:val="3BBB7E54"/>
    <w:rsid w:val="3BEBEC6B"/>
    <w:rsid w:val="3DCA0786"/>
    <w:rsid w:val="3E4F6602"/>
    <w:rsid w:val="3F7F8627"/>
    <w:rsid w:val="3F8B9CC1"/>
    <w:rsid w:val="406D365C"/>
    <w:rsid w:val="41BB6E00"/>
    <w:rsid w:val="42EF5738"/>
    <w:rsid w:val="461D5993"/>
    <w:rsid w:val="46F613D2"/>
    <w:rsid w:val="482D3E87"/>
    <w:rsid w:val="4AF85E08"/>
    <w:rsid w:val="4B5BD645"/>
    <w:rsid w:val="4CCA439B"/>
    <w:rsid w:val="4F7FF963"/>
    <w:rsid w:val="50CF71DC"/>
    <w:rsid w:val="51D2611D"/>
    <w:rsid w:val="53EAFCC7"/>
    <w:rsid w:val="57E26410"/>
    <w:rsid w:val="57EF8A7C"/>
    <w:rsid w:val="582D4C92"/>
    <w:rsid w:val="5A5517EF"/>
    <w:rsid w:val="5A8D5E27"/>
    <w:rsid w:val="5C7783A9"/>
    <w:rsid w:val="5D678AEE"/>
    <w:rsid w:val="5DDC4BBB"/>
    <w:rsid w:val="5FFEA788"/>
    <w:rsid w:val="5FFF3624"/>
    <w:rsid w:val="5FFF9EFA"/>
    <w:rsid w:val="6051650D"/>
    <w:rsid w:val="60CE6D57"/>
    <w:rsid w:val="63FB1F4B"/>
    <w:rsid w:val="6618187B"/>
    <w:rsid w:val="67BB1879"/>
    <w:rsid w:val="68E136C0"/>
    <w:rsid w:val="6BFFFE57"/>
    <w:rsid w:val="6C52469B"/>
    <w:rsid w:val="6F3332FA"/>
    <w:rsid w:val="6F7FE575"/>
    <w:rsid w:val="6FF58B3A"/>
    <w:rsid w:val="716B2DF9"/>
    <w:rsid w:val="71BA00AF"/>
    <w:rsid w:val="73025A6F"/>
    <w:rsid w:val="73A7E367"/>
    <w:rsid w:val="75DD8CB1"/>
    <w:rsid w:val="775BDEE7"/>
    <w:rsid w:val="775F2FB7"/>
    <w:rsid w:val="77E313B5"/>
    <w:rsid w:val="77F7C64E"/>
    <w:rsid w:val="77FB7B18"/>
    <w:rsid w:val="79FFDC46"/>
    <w:rsid w:val="7B77B0A7"/>
    <w:rsid w:val="7B9FE01C"/>
    <w:rsid w:val="7BDF2AA5"/>
    <w:rsid w:val="7BEE5A3C"/>
    <w:rsid w:val="7D07F6DE"/>
    <w:rsid w:val="7D3F3650"/>
    <w:rsid w:val="7D4F0328"/>
    <w:rsid w:val="7D950A87"/>
    <w:rsid w:val="7D9CC2B8"/>
    <w:rsid w:val="7DF79DB6"/>
    <w:rsid w:val="7E796BE5"/>
    <w:rsid w:val="7E7F8947"/>
    <w:rsid w:val="7EAB082E"/>
    <w:rsid w:val="7EAE00B6"/>
    <w:rsid w:val="7EBF9811"/>
    <w:rsid w:val="7F5D67C8"/>
    <w:rsid w:val="7FAF051C"/>
    <w:rsid w:val="7FF75E22"/>
    <w:rsid w:val="8FEE8C55"/>
    <w:rsid w:val="9DFF6253"/>
    <w:rsid w:val="AA777956"/>
    <w:rsid w:val="AAF93828"/>
    <w:rsid w:val="AB4E03B2"/>
    <w:rsid w:val="AF6D993C"/>
    <w:rsid w:val="BD7E58EF"/>
    <w:rsid w:val="BD7FD311"/>
    <w:rsid w:val="BDF9D3A5"/>
    <w:rsid w:val="BEFF68F7"/>
    <w:rsid w:val="BF5FA67F"/>
    <w:rsid w:val="BFDB2260"/>
    <w:rsid w:val="C43B4CF2"/>
    <w:rsid w:val="C9ED38BC"/>
    <w:rsid w:val="CEFF202C"/>
    <w:rsid w:val="DA679C46"/>
    <w:rsid w:val="DAEE555F"/>
    <w:rsid w:val="DCCF59B1"/>
    <w:rsid w:val="DE9E2046"/>
    <w:rsid w:val="DE9E4FDB"/>
    <w:rsid w:val="DFBC915D"/>
    <w:rsid w:val="DFBE7C7E"/>
    <w:rsid w:val="DFC7013D"/>
    <w:rsid w:val="E5E2D6E5"/>
    <w:rsid w:val="E76F10D8"/>
    <w:rsid w:val="EA976D97"/>
    <w:rsid w:val="EB3E9A7D"/>
    <w:rsid w:val="EB776983"/>
    <w:rsid w:val="ECBFE5F5"/>
    <w:rsid w:val="EDF7A10D"/>
    <w:rsid w:val="F4F9C3BC"/>
    <w:rsid w:val="F57D84F8"/>
    <w:rsid w:val="F65E4993"/>
    <w:rsid w:val="F777B792"/>
    <w:rsid w:val="F77F989A"/>
    <w:rsid w:val="F7DB302A"/>
    <w:rsid w:val="F7F92A0A"/>
    <w:rsid w:val="F8E737B1"/>
    <w:rsid w:val="F9278684"/>
    <w:rsid w:val="F9367CBD"/>
    <w:rsid w:val="FB6ECD87"/>
    <w:rsid w:val="FBF51D9F"/>
    <w:rsid w:val="FBFB396D"/>
    <w:rsid w:val="FDF79837"/>
    <w:rsid w:val="FDFF5B87"/>
    <w:rsid w:val="FEB4608E"/>
    <w:rsid w:val="FF7DBC26"/>
    <w:rsid w:val="FFBE552F"/>
    <w:rsid w:val="FFD98A10"/>
    <w:rsid w:val="FFE727EA"/>
    <w:rsid w:val="FFF54360"/>
    <w:rsid w:val="FFFD768C"/>
    <w:rsid w:val="FFFE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widowControl w:val="0"/>
      <w:spacing w:before="340" w:after="330" w:line="578" w:lineRule="auto"/>
      <w:outlineLvl w:val="0"/>
    </w:pPr>
    <w:rPr>
      <w:b/>
      <w:kern w:val="44"/>
      <w:sz w:val="4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rPr>
      <w:rFonts w:eastAsia="仿宋_GB2312"/>
      <w:sz w:val="32"/>
    </w:rPr>
  </w:style>
  <w:style w:type="paragraph" w:styleId="3">
    <w:name w:val="Body Text 2"/>
    <w:basedOn w:val="1"/>
    <w:link w:val="34"/>
    <w:autoRedefine/>
    <w:unhideWhenUsed/>
    <w:qFormat/>
    <w:uiPriority w:val="99"/>
    <w:pPr>
      <w:spacing w:after="120" w:line="480" w:lineRule="auto"/>
    </w:pPr>
    <w:rPr>
      <w:rFonts w:eastAsia="仿宋_GB2312"/>
      <w:sz w:val="32"/>
    </w:rPr>
  </w:style>
  <w:style w:type="paragraph" w:styleId="5">
    <w:name w:val="Normal Indent"/>
    <w:basedOn w:val="1"/>
    <w:autoRedefine/>
    <w:qFormat/>
    <w:uiPriority w:val="0"/>
    <w:pPr>
      <w:ind w:firstLine="200" w:firstLineChars="200"/>
    </w:pPr>
    <w:rPr>
      <w:rFonts w:ascii="Times New Roman" w:hAnsi="Times New Roman"/>
    </w:rPr>
  </w:style>
  <w:style w:type="paragraph" w:styleId="6">
    <w:name w:val="toc 3"/>
    <w:basedOn w:val="1"/>
    <w:next w:val="1"/>
    <w:qFormat/>
    <w:uiPriority w:val="0"/>
    <w:pPr>
      <w:widowControl w:val="0"/>
      <w:spacing w:line="560" w:lineRule="exact"/>
      <w:ind w:firstLine="640" w:firstLineChars="200"/>
      <w:jc w:val="both"/>
    </w:pPr>
    <w:rPr>
      <w:rFonts w:ascii="楷体" w:hAnsi="楷体" w:eastAsia="楷体" w:cs="仿宋"/>
      <w:kern w:val="2"/>
      <w:sz w:val="32"/>
      <w:szCs w:val="32"/>
      <w:lang w:val="en-US" w:eastAsia="zh-CN" w:bidi="ar-SA"/>
    </w:rPr>
  </w:style>
  <w:style w:type="paragraph" w:styleId="7">
    <w:name w:val="Plain Text"/>
    <w:basedOn w:val="1"/>
    <w:link w:val="27"/>
    <w:autoRedefine/>
    <w:qFormat/>
    <w:uiPriority w:val="0"/>
    <w:rPr>
      <w:rFonts w:ascii="宋体" w:hAnsi="Courier New" w:cs="Courier New"/>
      <w:szCs w:val="21"/>
    </w:rPr>
  </w:style>
  <w:style w:type="paragraph" w:styleId="8">
    <w:name w:val="Date"/>
    <w:basedOn w:val="1"/>
    <w:next w:val="1"/>
    <w:link w:val="26"/>
    <w:autoRedefine/>
    <w:qFormat/>
    <w:uiPriority w:val="0"/>
    <w:pPr>
      <w:ind w:left="100" w:leftChars="2500"/>
    </w:pPr>
  </w:style>
  <w:style w:type="paragraph" w:styleId="9">
    <w:name w:val="Body Text Indent 2"/>
    <w:basedOn w:val="1"/>
    <w:link w:val="33"/>
    <w:autoRedefine/>
    <w:qFormat/>
    <w:uiPriority w:val="0"/>
    <w:pPr>
      <w:spacing w:after="120" w:line="480" w:lineRule="auto"/>
      <w:ind w:left="420" w:leftChars="200"/>
    </w:pPr>
  </w:style>
  <w:style w:type="paragraph" w:styleId="10">
    <w:name w:val="Balloon Text"/>
    <w:basedOn w:val="1"/>
    <w:autoRedefine/>
    <w:semiHidden/>
    <w:qFormat/>
    <w:uiPriority w:val="0"/>
    <w:rPr>
      <w:sz w:val="18"/>
      <w:szCs w:val="18"/>
    </w:rPr>
  </w:style>
  <w:style w:type="paragraph" w:styleId="11">
    <w:name w:val="footer"/>
    <w:basedOn w:val="1"/>
    <w:link w:val="36"/>
    <w:autoRedefine/>
    <w:qFormat/>
    <w:uiPriority w:val="0"/>
    <w:pPr>
      <w:tabs>
        <w:tab w:val="center" w:pos="4153"/>
        <w:tab w:val="right" w:pos="8306"/>
      </w:tabs>
      <w:snapToGrid w:val="0"/>
      <w:jc w:val="left"/>
    </w:pPr>
    <w:rPr>
      <w:sz w:val="18"/>
      <w:szCs w:val="18"/>
    </w:rPr>
  </w:style>
  <w:style w:type="paragraph" w:styleId="12">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41"/>
    <w:autoRedefine/>
    <w:qFormat/>
    <w:uiPriority w:val="0"/>
    <w:pPr>
      <w:spacing w:before="240" w:after="60"/>
      <w:ind w:left="640" w:leftChars="200"/>
      <w:outlineLvl w:val="0"/>
    </w:pPr>
    <w:rPr>
      <w:rFonts w:ascii="Arial" w:hAnsi="Arial" w:eastAsia="仿宋_GB2312"/>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b/>
    </w:rPr>
  </w:style>
  <w:style w:type="character" w:styleId="20">
    <w:name w:val="page number"/>
    <w:basedOn w:val="18"/>
    <w:autoRedefine/>
    <w:qFormat/>
    <w:uiPriority w:val="0"/>
  </w:style>
  <w:style w:type="character" w:styleId="21">
    <w:name w:val="Emphasis"/>
    <w:basedOn w:val="18"/>
    <w:autoRedefine/>
    <w:qFormat/>
    <w:uiPriority w:val="20"/>
    <w:rPr>
      <w:color w:val="CC0000"/>
    </w:rPr>
  </w:style>
  <w:style w:type="character" w:styleId="22">
    <w:name w:val="Hyperlink"/>
    <w:autoRedefine/>
    <w:qFormat/>
    <w:uiPriority w:val="0"/>
    <w:rPr>
      <w:color w:val="0000FF"/>
      <w:u w:val="single"/>
    </w:rPr>
  </w:style>
  <w:style w:type="paragraph" w:customStyle="1" w:styleId="23">
    <w:name w:val="Body Text First Indent 2"/>
    <w:basedOn w:val="24"/>
    <w:autoRedefine/>
    <w:qFormat/>
    <w:uiPriority w:val="0"/>
    <w:pPr>
      <w:widowControl w:val="0"/>
      <w:spacing w:after="120" w:afterLines="0"/>
      <w:ind w:left="420" w:leftChars="200" w:firstLine="420"/>
      <w:jc w:val="both"/>
    </w:pPr>
    <w:rPr>
      <w:rFonts w:ascii="Calibri" w:hAnsi="Calibri" w:eastAsia="宋体" w:cs="Times New Roman"/>
      <w:kern w:val="2"/>
      <w:sz w:val="21"/>
      <w:szCs w:val="22"/>
      <w:lang w:val="en-US" w:eastAsia="zh-CN" w:bidi="ar-SA"/>
    </w:rPr>
  </w:style>
  <w:style w:type="paragraph" w:customStyle="1" w:styleId="24">
    <w:name w:val="Body Text Indent1"/>
    <w:basedOn w:val="1"/>
    <w:next w:val="23"/>
    <w:autoRedefine/>
    <w:qFormat/>
    <w:uiPriority w:val="0"/>
    <w:pPr>
      <w:spacing w:after="120" w:afterLines="0"/>
      <w:ind w:left="420" w:leftChars="200"/>
    </w:pPr>
  </w:style>
  <w:style w:type="paragraph" w:customStyle="1" w:styleId="25">
    <w:name w:val="Char"/>
    <w:basedOn w:val="1"/>
    <w:autoRedefine/>
    <w:qFormat/>
    <w:uiPriority w:val="0"/>
    <w:pPr>
      <w:widowControl/>
      <w:spacing w:after="160" w:line="240" w:lineRule="exact"/>
      <w:jc w:val="left"/>
    </w:pPr>
    <w:rPr>
      <w:szCs w:val="20"/>
    </w:rPr>
  </w:style>
  <w:style w:type="character" w:customStyle="1" w:styleId="26">
    <w:name w:val="日期 Char"/>
    <w:basedOn w:val="18"/>
    <w:link w:val="8"/>
    <w:autoRedefine/>
    <w:qFormat/>
    <w:uiPriority w:val="0"/>
    <w:rPr>
      <w:kern w:val="2"/>
      <w:sz w:val="21"/>
      <w:szCs w:val="24"/>
    </w:rPr>
  </w:style>
  <w:style w:type="character" w:customStyle="1" w:styleId="27">
    <w:name w:val="纯文本 Char"/>
    <w:basedOn w:val="18"/>
    <w:link w:val="7"/>
    <w:autoRedefine/>
    <w:qFormat/>
    <w:uiPriority w:val="0"/>
    <w:rPr>
      <w:rFonts w:ascii="宋体" w:hAnsi="Courier New" w:cs="Courier New"/>
      <w:kern w:val="2"/>
      <w:sz w:val="21"/>
      <w:szCs w:val="21"/>
    </w:rPr>
  </w:style>
  <w:style w:type="paragraph" w:styleId="28">
    <w:name w:val="List Paragraph"/>
    <w:basedOn w:val="1"/>
    <w:autoRedefine/>
    <w:qFormat/>
    <w:uiPriority w:val="34"/>
    <w:pPr>
      <w:ind w:firstLine="420" w:firstLineChars="200"/>
    </w:pPr>
  </w:style>
  <w:style w:type="paragraph" w:styleId="29">
    <w:name w:val="No Spacing"/>
    <w:autoRedefine/>
    <w:qFormat/>
    <w:uiPriority w:val="1"/>
    <w:pPr>
      <w:widowControl w:val="0"/>
      <w:jc w:val="both"/>
    </w:pPr>
    <w:rPr>
      <w:rFonts w:ascii="Calibri" w:hAnsi="Calibri" w:eastAsia="宋体" w:cs="Times New Roman"/>
      <w:kern w:val="2"/>
      <w:sz w:val="21"/>
      <w:lang w:val="en-US" w:eastAsia="zh-CN" w:bidi="ar-SA"/>
    </w:rPr>
  </w:style>
  <w:style w:type="character" w:customStyle="1" w:styleId="30">
    <w:name w:val="Subtle Emphasis"/>
    <w:autoRedefine/>
    <w:qFormat/>
    <w:uiPriority w:val="19"/>
    <w:rPr>
      <w:i/>
      <w:iCs/>
      <w:color w:val="808080"/>
    </w:rPr>
  </w:style>
  <w:style w:type="character" w:customStyle="1" w:styleId="31">
    <w:name w:val="正文文本 Char"/>
    <w:basedOn w:val="18"/>
    <w:link w:val="2"/>
    <w:autoRedefine/>
    <w:qFormat/>
    <w:uiPriority w:val="0"/>
    <w:rPr>
      <w:rFonts w:eastAsia="仿宋_GB2312"/>
      <w:kern w:val="2"/>
      <w:sz w:val="32"/>
      <w:szCs w:val="24"/>
    </w:rPr>
  </w:style>
  <w:style w:type="character" w:customStyle="1" w:styleId="32">
    <w:name w:val="正文文本缩进 Char"/>
    <w:basedOn w:val="18"/>
    <w:autoRedefine/>
    <w:qFormat/>
    <w:uiPriority w:val="0"/>
    <w:rPr>
      <w:kern w:val="2"/>
      <w:sz w:val="21"/>
      <w:szCs w:val="24"/>
    </w:rPr>
  </w:style>
  <w:style w:type="character" w:customStyle="1" w:styleId="33">
    <w:name w:val="正文文本缩进 2 Char"/>
    <w:basedOn w:val="18"/>
    <w:link w:val="9"/>
    <w:autoRedefine/>
    <w:qFormat/>
    <w:uiPriority w:val="0"/>
    <w:rPr>
      <w:kern w:val="2"/>
      <w:sz w:val="21"/>
      <w:szCs w:val="24"/>
    </w:rPr>
  </w:style>
  <w:style w:type="character" w:customStyle="1" w:styleId="34">
    <w:name w:val="正文文本 2 Char"/>
    <w:basedOn w:val="18"/>
    <w:link w:val="3"/>
    <w:autoRedefine/>
    <w:qFormat/>
    <w:uiPriority w:val="99"/>
    <w:rPr>
      <w:rFonts w:eastAsia="仿宋_GB2312"/>
      <w:kern w:val="2"/>
      <w:sz w:val="32"/>
      <w:szCs w:val="24"/>
    </w:rPr>
  </w:style>
  <w:style w:type="character" w:customStyle="1" w:styleId="35">
    <w:name w:val="Intense Emphasis"/>
    <w:autoRedefine/>
    <w:qFormat/>
    <w:uiPriority w:val="21"/>
    <w:rPr>
      <w:b/>
      <w:bCs/>
      <w:i/>
      <w:iCs/>
      <w:color w:val="4F81BD"/>
    </w:rPr>
  </w:style>
  <w:style w:type="character" w:customStyle="1" w:styleId="36">
    <w:name w:val="页脚 Char"/>
    <w:link w:val="11"/>
    <w:autoRedefine/>
    <w:qFormat/>
    <w:uiPriority w:val="0"/>
    <w:rPr>
      <w:kern w:val="2"/>
      <w:sz w:val="18"/>
      <w:szCs w:val="18"/>
    </w:rPr>
  </w:style>
  <w:style w:type="character" w:customStyle="1" w:styleId="37">
    <w:name w:val="页眉 Char"/>
    <w:link w:val="12"/>
    <w:autoRedefine/>
    <w:qFormat/>
    <w:uiPriority w:val="0"/>
    <w:rPr>
      <w:kern w:val="2"/>
      <w:sz w:val="18"/>
      <w:szCs w:val="18"/>
    </w:rPr>
  </w:style>
  <w:style w:type="character" w:customStyle="1" w:styleId="38">
    <w:name w:val="NormalCharacter"/>
    <w:autoRedefine/>
    <w:qFormat/>
    <w:uiPriority w:val="0"/>
  </w:style>
  <w:style w:type="character" w:customStyle="1" w:styleId="39">
    <w:name w:val="Body text|1_"/>
    <w:link w:val="40"/>
    <w:autoRedefine/>
    <w:qFormat/>
    <w:uiPriority w:val="0"/>
    <w:rPr>
      <w:rFonts w:ascii="宋体" w:hAnsi="宋体" w:cs="宋体"/>
      <w:color w:val="000000"/>
      <w:sz w:val="30"/>
      <w:szCs w:val="30"/>
      <w:lang w:val="zh-TW" w:eastAsia="zh-TW" w:bidi="zh-TW"/>
    </w:rPr>
  </w:style>
  <w:style w:type="paragraph" w:customStyle="1" w:styleId="40">
    <w:name w:val="Body text|1"/>
    <w:basedOn w:val="1"/>
    <w:link w:val="39"/>
    <w:autoRedefine/>
    <w:qFormat/>
    <w:uiPriority w:val="0"/>
    <w:pPr>
      <w:spacing w:line="410" w:lineRule="auto"/>
      <w:ind w:firstLine="400"/>
      <w:jc w:val="left"/>
    </w:pPr>
    <w:rPr>
      <w:rFonts w:ascii="宋体" w:hAnsi="宋体" w:cs="宋体"/>
      <w:color w:val="000000"/>
      <w:kern w:val="0"/>
      <w:sz w:val="30"/>
      <w:szCs w:val="30"/>
      <w:lang w:val="zh-TW" w:eastAsia="zh-TW" w:bidi="zh-TW"/>
    </w:rPr>
  </w:style>
  <w:style w:type="character" w:customStyle="1" w:styleId="41">
    <w:name w:val="标题 Char"/>
    <w:basedOn w:val="18"/>
    <w:link w:val="15"/>
    <w:autoRedefine/>
    <w:qFormat/>
    <w:uiPriority w:val="0"/>
    <w:rPr>
      <w:rFonts w:ascii="Arial" w:hAnsi="Arial" w:eastAsia="仿宋_GB2312"/>
      <w:b/>
      <w:kern w:val="2"/>
      <w:sz w:val="32"/>
      <w:szCs w:val="24"/>
    </w:rPr>
  </w:style>
  <w:style w:type="paragraph" w:customStyle="1" w:styleId="42">
    <w:name w:val="Normal Indent"/>
    <w:basedOn w:val="1"/>
    <w:autoRedefine/>
    <w:qFormat/>
    <w:uiPriority w:val="0"/>
    <w:pPr>
      <w:ind w:firstLine="200" w:firstLineChars="200"/>
    </w:pPr>
    <w:rPr>
      <w:rFonts w:ascii="Times New Roman" w:hAnsi="Times New Roman" w:eastAsia="宋体" w:cs="Times New Roman"/>
      <w:sz w:val="21"/>
      <w:szCs w:val="22"/>
    </w:rPr>
  </w:style>
  <w:style w:type="paragraph" w:customStyle="1" w:styleId="43">
    <w:name w:val="f-article-title-tiny"/>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4">
    <w:name w:val="_Style 1"/>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5684</Words>
  <Characters>5767</Characters>
  <Lines>18</Lines>
  <Paragraphs>5</Paragraphs>
  <TotalTime>34</TotalTime>
  <ScaleCrop>false</ScaleCrop>
  <LinksUpToDate>false</LinksUpToDate>
  <CharactersWithSpaces>5838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2012-02-25T00:49:00Z</dcterms:created>
  <dc:creator>hao</dc:creator>
  <cp:lastModifiedBy>wh</cp:lastModifiedBy>
  <cp:lastPrinted>2026-03-05T10:34:00Z</cp:lastPrinted>
  <dcterms:modified xsi:type="dcterms:W3CDTF">2026-03-13T16:05:22Z</dcterms:modified>
  <dc:title>乌海市司法局办公室关于认真开展重点调研活动的通知</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DB3C962B582349FFBE70EA85D10C04B4</vt:lpwstr>
  </property>
</Properties>
</file>